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Информација за кандидате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о конкурсном поступку за извршилачко радно место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tbl>
      <w:tblPr>
        <w:tblW w:w="958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517"/>
        <w:gridCol w:w="68"/>
      </w:tblGrid>
      <w:tr>
        <w:trPr/>
        <w:tc>
          <w:tcPr>
            <w:tcW w:w="9517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val="sr-RS"/>
              </w:rPr>
              <w:t xml:space="preserve">ПОСЛОВИ УРБАНИЗМА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>у Одсеку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lang w:val="sr-RS"/>
              </w:rPr>
              <w:t xml:space="preserve"> за урбанизам, грађевинарство и инспекцијске послове Општинске управе</w:t>
            </w:r>
          </w:p>
        </w:tc>
        <w:tc>
          <w:tcPr>
            <w:tcW w:w="68" w:type="dxa"/>
            <w:tcBorders/>
          </w:tcPr>
          <w:p>
            <w:pPr>
              <w:pStyle w:val="TableContents"/>
              <w:spacing w:lineRule="auto" w:line="240"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103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sr-RS"/>
        </w:rPr>
        <w:t>Позивамо Вас да се пријавите на посао на којем ћете обављати послове из описа радног места под редним бројем 40. Послови урбанизма из Правилника о организацији и систематизацији радних места у Општинској управи, Општинском правобранилаштву, стручним службама и посебним организацијама општине Ћићевац („Сл. лист општине Ћићевац“, бр. 7/24), а за  које је потребно високо образовање.</w:t>
      </w:r>
    </w:p>
    <w:tbl>
      <w:tblPr>
        <w:tblStyle w:val="TableGrid1"/>
        <w:tblW w:w="96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3172"/>
        <w:gridCol w:w="5610"/>
      </w:tblGrid>
      <w:tr>
        <w:trPr/>
        <w:tc>
          <w:tcPr>
            <w:tcW w:w="84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1304" w:right="0" w:hanging="964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 xml:space="preserve">Датум објављивања конкурса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24.10.2024.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>Последњи дан за достављање пријаве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8.11.2024.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шта је посебно важно да обратите пажњу у тексту конкурса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Обратите пажњу на опис послова на радном месту како бисте проценили да ли Вам овај посао заиста одговара.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 овај посао морате да имате: стечено високо образовање из образовно- научног поља техничко- технолошких наука,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 (са високом стручном спремом) познавање рада на рачунару (MS Office пакет и интернет), као и потребне компетенције за обављање послова радног места.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подносите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Пријава се подноси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само преко обрасца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пријаве која се налази уз Јавни конкурс и коју можете пронаћи на на сајту општине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www.cicevac.rs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и одштампати или је у штампаном облику можете преузети у Одсеку за друштвене делатности, скупштинске, опште и заједничке послове у згради управе.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Обавезна поља која су означена * у обрасцу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обавезно попуните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, јер ако их не попуните нећете моћи да учествујете на овом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Вашу пријаву. </w:t>
            </w:r>
          </w:p>
        </w:tc>
      </w:tr>
      <w:tr>
        <w:trPr>
          <w:trHeight w:val="4365" w:hRule="atLeast"/>
        </w:trPr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Које доказе достављате уз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Ако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имате важећи сертификат, потврду или други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компетенције, можете тај доказ у оригиналу или овереној фотокопији приложити уз пријавни образац на овај конкурс.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kern w:val="2"/>
                <w:sz w:val="22"/>
                <w:szCs w:val="22"/>
                <w:lang w:val="en-US"/>
              </w:rPr>
              <w:t>Напомена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: Ако не доставите наведени доказ, провера компетенције „дигитална писменост” извршиће се писмено/усмено. Ако конкурсна комисија увидом у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достављени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 доказ не буде могла потпуно да оцени да ли је Ваша дигитална писменост на потребном нивоу, позваћемо Вас на тестирање ове компетенције, без обзира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на достављени доказ.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достављате остале доказе који се траже на овом конкурсу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Све доказе које Вам будемо тражили током конкурса, морате да доставите у року од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5 радних дана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од дана када добијете обавештење.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их не доставите у том року, нећете више моћи да учествујете  на конкурсу.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Наш службеник ће Вам пре почетка тестирања донети пријаву да је ручно потпишете.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шифра пријаве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Шифра пријаве је скуп бројева и слова који ћемо доделити Вашој пријави.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 шифри ћете бити обавештени у року од три дана од дана када  предате пријаву.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сте конкурисали на више радних места, добићете онолико шифри колико сте пријава послали.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Забележите, односно сачувајте вашу шифру јер ћете је уписивати на све тестове које будете радили у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Очекивани датум отпочињања изборног поступка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19.11.2024.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општих функционалних компетенција (ОФК)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На овом конкурсу ћемо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путем тестова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проверавати да ли познајете „Организацију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 комуникација”.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Све ове тестове ћете радити на рачунару.  Ови тестови ће показати ниво Ваших општих функционалних компетенција.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>На линку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u w:val="single"/>
                <w:lang w:val="sr-RS"/>
              </w:rPr>
              <w:t>https://kutak.suk.gov.rs/kutak-znanja/materijali-za-pripremu-ofk-jls/baza-pitanja-i-odogovora-iz-organizacije-i-rada-organa-ap-i-jls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>можете наћи базу питања за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u w:val="single"/>
                <w:lang w:val="sr-RS"/>
              </w:rPr>
              <w:t>„Организацију и рад органа аутономне покрајине, односно локалне самоуправе у Републици Србији”</w:t>
            </w: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 xml:space="preserve">. Из те базе ћете добити 20 питања на које треба да одговорите. 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2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auto"/>
                  <w:sz w:val="22"/>
                  <w:szCs w:val="22"/>
                  <w:lang w:val="en-US"/>
                </w:rPr>
                <w:t>https://kutak.suk.gov.rs/kutak-znanja/rad-i-organizacija-drzavnih-organa-u-ap-i-jls</w:t>
              </w:r>
            </w:hyperlink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lang w:val="en-US"/>
              </w:rPr>
              <w:t xml:space="preserve">     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>можете вежбати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>и проверити своје знање из ове области.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 xml:space="preserve">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3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auto"/>
                  <w:sz w:val="22"/>
                  <w:szCs w:val="22"/>
                  <w:lang w:val="en-US"/>
                </w:rPr>
                <w:t>https://kutak.suk.gov.rs/kutak-znanja/poslovna-komunikacija-za-ap-i-jls</w:t>
              </w:r>
            </w:hyperlink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en-US"/>
              </w:rPr>
              <w:t xml:space="preserve">       можете наћи примере питања са одговорима за </w:t>
            </w: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u w:val="single"/>
                <w:lang w:val="en-US"/>
              </w:rPr>
              <w:t>''Пословну комуникацију''</w:t>
            </w: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en-US"/>
              </w:rPr>
              <w:t xml:space="preserve"> и припремити се за почетак изборног поступка. Ово су само примери и нису идентични као они који ће бити дати на тестирању.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sz w:val="22"/>
                <w:szCs w:val="22"/>
                <w:lang w:val="sr-RS"/>
              </w:rPr>
              <w:t>На линковима: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lang w:val="sr-RS"/>
              </w:rPr>
            </w:pPr>
            <w:hyperlink r:id="rId4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auto"/>
                  <w:sz w:val="22"/>
                  <w:szCs w:val="22"/>
                  <w:lang w:val="en-US"/>
                </w:rPr>
                <w:t>https://kutak.suk.gov.rs/kutak-znanja/materijali-za-pripremu-ofk/digitalna-pismenost-excel</w:t>
              </w:r>
            </w:hyperlink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u w:val="single"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sz w:val="22"/>
                <w:szCs w:val="22"/>
                <w:u w:val="single"/>
                <w:lang w:val="sr-RS"/>
              </w:rPr>
              <w:t>https://kutak.suk.gov.rs/kutak-znanja/digitalna-pismenost</w:t>
            </w:r>
            <w:r>
              <w:rPr>
                <w:rFonts w:eastAsia="Calibri" w:cs="Arial" w:ascii="Arial" w:hAnsi="Arial"/>
                <w:b/>
                <w:bCs/>
                <w:sz w:val="22"/>
                <w:szCs w:val="22"/>
                <w:u w:val="none"/>
                <w:lang w:val="sr-RS"/>
              </w:rPr>
              <w:t xml:space="preserve">     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можете наћи материјал за припрему за компетенцију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val="sr-RS"/>
                <w14:ligatures w14:val="none"/>
              </w:rPr>
              <w:t>''Дигитална писменост''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и припремити се за почетак изборног поступка. 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појединачном тесту можете остварити максимално 3 бода, а укупно на сва три теста за ОФК максимално 9 бодова.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посебних функционалних компетенција (ПФК)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ће се проверавати да ли имате конкретна знања и вештине за рад на месту за које конкуришете.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sr-RS"/>
                <w14:ligatures w14:val="none"/>
              </w:rPr>
              <w:t xml:space="preserve"> То су посебне функционалне компетенције.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 ће се вршити Вашим излагањем/одговарањем на питања Комисије (усмена провера).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Провераваћемо да ли познајете: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- Посебна функционална компетенција за област рада </w:t>
            </w:r>
            <w:r>
              <w:rPr>
                <w:rFonts w:cs="Times New Roman" w:ascii="Times New Roman" w:hAnsi="Times New Roman"/>
                <w:b w:val="false"/>
                <w:color w:val="000000"/>
                <w:sz w:val="22"/>
                <w:szCs w:val="22"/>
                <w:u w:val="none"/>
                <w:lang w:val="en-US" w:eastAsia="en-US"/>
              </w:rPr>
              <w:t>стручно-оперативни послови</w:t>
            </w:r>
            <w:r>
              <w:rPr>
                <w:rFonts w:cs="Times New Roman" w:ascii="Times New Roman" w:hAnsi="Times New Roman"/>
                <w:b w:val="false"/>
                <w:color w:val="000000"/>
                <w:sz w:val="22"/>
                <w:szCs w:val="22"/>
                <w:u w:val="none"/>
                <w:lang w:val="sr-RS" w:eastAsia="en-US"/>
              </w:rPr>
              <w:t xml:space="preserve"> (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>методе и технике опсервације, прикупљања и евидентирања података и технике обраде и израде прегледа података)-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провераваће се усмено, путем симулације;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>- Посебна функционална компетенција за одређено радно место- планска документа, прописи и акти из надлежности и организације органа- (просторно урбанистичко планска документа општине Ћићевац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провераваће се усмено, путем симулације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en-US"/>
              </w:rPr>
              <w:t>)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>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/>
                <w:lang w:val="sr-RS"/>
              </w:rPr>
              <w:t>- Посебна функционална компетенција за одређено радно место- прописи из делокруга радног места- (Закон о планирању и изградњи)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/>
                <w:lang w:val="sr-RS"/>
                <w14:ligatures w14:val="standardContextual"/>
              </w:rPr>
              <w:t>-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none"/>
                <w:lang w:val="sr-RS"/>
              </w:rPr>
              <w:t xml:space="preserve"> провераваће се усмено, путем симулације.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Прописи које се очекује да примените при провери су: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-  Закон о планирању и изградњи ("Сл. гласник РС", бр. 72/09, 81/09- испр., 64/10 - одлука УС, 24/11, 121/12, 42/13- одлука УС, 50/13- одлука УС, 98/13- одлука УС, 132/14, 145/14, 83/18, 31/19, 37/19- др. закон, 9/20, 52/21 и 62/23) 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- Просторно урбанистичко планска документа општине Ћићевац. Просторни план општине Ћићевац („Сл. лист општине Ћићевац“, бр. 7/11), Измене и допуне Просторног плана општине Ћићевац („Сл. лист општине Ћићевац“, бр. 13/23), Генерални план општине  Ћићевац („Сл. лист општине Ћићевац“, бр. 7/09) и Одлука о преименовању Генералног плана у План Генералне регулације („Сл. лист општине Ћићевац“, бр. 13/10). Информације о наведеним планским документима и увид у исте можете извршити у Одсеку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  <w:lang w:val="sr-RS"/>
              </w:rPr>
              <w:t>за грађевинарство, урбанизам и инспекцијске послове Општинске управе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Током саме провере биће вам дозвољено да користити текстове закона и прописа, с обзиром на то да нас интересује да ли знате да их примењујете, а не да ли сте их научили напамет.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На сајту Службе за управљање кадровима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hyperlink r:id="rId5">
              <w:r>
                <w:rPr>
                  <w:rFonts w:eastAsia="Calibri" w:cs="Times New Roman" w:ascii="Times New Roman" w:hAnsi="Times New Roman"/>
                  <w:i/>
                  <w:iCs/>
                  <w:color w:val="000000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https://www.suk.gov.rs/extfile/sr/1643/Provera%20pfk.pdf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се проверава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проверимо Ваше ПФК, ако будете успешни и освојите минималан број бодова који Комисија одреди (о томе ће вас Комисија унапред обавестити), позваћемо вас на завршни разговор са Комисијом.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завршном разговору ћемо проверавати Ваше понашајне компетенције и мотивацију за рад на послу за који сте се пријавили.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Оне представљају скуп ваших карактеристика- способности, особина, ставова, вештина, које утичу на то како ћете се понашати у радној ситуацији и колико ћете успешно обављате послове.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се проверавају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Понашајне компетенције провераваће се путем интервјуа са Комисијом/ провераваће лице које обучено да их проверава.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на радним местима на којима сте радили.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Како да се припремите за процену мотивације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Такође, цениће и ваш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добити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</w:rPr>
              <w:t>Ма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ксимум бодова на завршном разговору који можете добити је 18.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ћете бити обавештавани у вези са конкурсним поступком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Сва потребна обавештења и позиве за учешће у изборном поступку добијаћете на контакте које сте навели у обрасцу пријаве.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Проверавајте редовно своју електронску пошту, као и сајт органа који је огласио конкурс како бисте имали увид у ток поступка.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да радите ако желите да уложите жалбу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којим је одбачена ваша пријава;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пријему у радни однос изабраног кандидата (ако сте били кандидат у изборном поступку);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неуспеху јавног конкурса (ако сте били кандидат у изборном поступку).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решењу ће писати коме и у ком року можете да се жалите.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Коме се можете обратити за подршку у овом конкурсном поступку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нисте сигурни или имате неке недоумице или нејасноће у вези са овим конкурсом, можете се обратити Душану Ивковићу, шефу Одсека за друштвене делатности, скупштинске, опште и заједничке послове, на телефон 037 811 260, радним данима од 10 до 12 часова (понедељак- петак).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Ову информацију за кандидате прати образац пријаве, који је објављен на сајту општине.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Желимо Вам пуно успеха у изборном поступку.</w:t>
      </w:r>
    </w:p>
    <w:p>
      <w:pPr>
        <w:pStyle w:val="Normal"/>
        <w:spacing w:lineRule="auto" w:line="240" w:before="0" w:after="16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type w:val="nextPage"/>
      <w:pgSz w:w="11906" w:h="16838"/>
      <w:pgMar w:left="1417" w:right="848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659" w:hanging="360"/>
      </w:pPr>
      <w:rPr>
        <w:rFonts w:ascii="Calibri" w:hAnsi="Calibri" w:cs="Calibri" w:hint="default"/>
        <w:rFonts w:cs="Calibri"/>
        <w:color w:val="auto"/>
      </w:rPr>
    </w:lvl>
    <w:lvl w:ilvl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9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1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5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7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1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sr-Latn-R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1"/>
    <w:uiPriority w:val="99"/>
    <w:qFormat/>
    <w:rsid w:val="00d306a2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06a2"/>
    <w:rPr>
      <w:sz w:val="16"/>
      <w:szCs w:val="16"/>
    </w:rPr>
  </w:style>
  <w:style w:type="character" w:styleId="CommentTextChar1" w:customStyle="1">
    <w:name w:val="Comment Text Char1"/>
    <w:basedOn w:val="DefaultParagraphFont"/>
    <w:link w:val="CommentText"/>
    <w:uiPriority w:val="99"/>
    <w:qFormat/>
    <w:rsid w:val="00d306a2"/>
    <w:rPr>
      <w:sz w:val="20"/>
      <w:szCs w:val="20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qFormat/>
    <w:rsid w:val="008e4b41"/>
    <w:rPr>
      <w:b/>
      <w:bCs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mmentText1" w:customStyle="1">
    <w:name w:val="Comment Text1"/>
    <w:basedOn w:val="Normal"/>
    <w:next w:val="Annotationtext"/>
    <w:link w:val="CommentTextChar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CommentTextChar1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818f2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e4b41"/>
    <w:pPr/>
    <w:rPr>
      <w:b/>
      <w:bCs/>
    </w:rPr>
  </w:style>
  <w:style w:type="paragraph" w:styleId="Revision">
    <w:name w:val="Revision"/>
    <w:uiPriority w:val="99"/>
    <w:semiHidden/>
    <w:qFormat/>
    <w:rsid w:val="00333f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d306a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tak.suk.gov.rs/kutak-znanja/rad-i-organizacija-drzavnih-organa-u-ap-i-jls" TargetMode="External"/><Relationship Id="rId3" Type="http://schemas.openxmlformats.org/officeDocument/2006/relationships/hyperlink" Target="https://kutak.suk.gov.rs/kutak-znanja/poslovna-komunikacija-za-ap-i-jls" TargetMode="External"/><Relationship Id="rId4" Type="http://schemas.openxmlformats.org/officeDocument/2006/relationships/hyperlink" Target="https://kutak.suk.gov.rs/kutak-znanja/materijali-za-pripremu-ofk/digitalna-pismenost-excel" TargetMode="External"/><Relationship Id="rId5" Type="http://schemas.openxmlformats.org/officeDocument/2006/relationships/hyperlink" Target="https://www.suk.gov.rs/extfile/sr/1643/Provera pfk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LibreOffice/6.4.0.3$Windows_X86_64 LibreOffice_project/b0a288ab3d2d4774cb44b62f04d5d28733ac6df8</Application>
  <Pages>6</Pages>
  <Words>1955</Words>
  <Characters>11336</Characters>
  <CharactersWithSpaces>13231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2023-12-25T10:12:00Z</dcterms:created>
  <dc:creator>Dragana Jankovic</dc:creator>
  <dc:description/>
  <dc:language>sr-Latn-RS</dc:language>
  <cp:lastModifiedBy/>
  <dcterms:modified xsi:type="dcterms:W3CDTF">2024-10-23T12:58:33Z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