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both"/>
        <w:rPr/>
      </w:pPr>
      <w:r>
        <w:rPr/>
        <w:t xml:space="preserve">На основу члана 41. став 1.  Закон о запошљавању и осигурању за случај незапослености („Службени гласник РС”, бр. 36/09, 88/10,  38/15, 113/17 и 113/17- др. закон и 49/21) и члана </w:t>
      </w:r>
      <w:r>
        <w:rPr>
          <w:color w:val="000000"/>
        </w:rPr>
        <w:t>40.</w:t>
      </w:r>
      <w:r>
        <w:rPr/>
        <w:t xml:space="preserve"> Статута општине Ћићевац (''Службени лист општине Ћићевац'', број 3/19), уз прибављено мишљење Локалног савета за запошљавање број </w:t>
      </w:r>
      <w:r>
        <w:rPr>
          <w:rFonts w:eastAsia="Arial Unicode MS" w:cs="Times New Roman"/>
          <w:color w:val="000000"/>
          <w:kern w:val="2"/>
          <w:sz w:val="24"/>
          <w:szCs w:val="24"/>
          <w:lang w:val="en-US" w:eastAsia="en-US" w:bidi="ar-SA"/>
        </w:rPr>
        <w:t>06-2/21-01</w:t>
      </w:r>
      <w:r>
        <w:rPr>
          <w:color w:val="000000"/>
        </w:rPr>
        <w:t xml:space="preserve"> од </w:t>
      </w:r>
      <w:r>
        <w:rPr>
          <w:color w:val="000000"/>
        </w:rPr>
        <w:t>27.01.2022.</w:t>
      </w:r>
      <w:r>
        <w:rPr/>
        <w:t xml:space="preserve"> године,  Скупштина општине Ћићевац  на ____ седници одржаној _______ године, донела је</w:t>
      </w:r>
    </w:p>
    <w:p>
      <w:pPr>
        <w:pStyle w:val="Normal"/>
        <w:jc w:val="both"/>
        <w:rPr/>
      </w:pPr>
      <w:r>
        <w:rPr/>
        <w:tab/>
      </w:r>
    </w:p>
    <w:p>
      <w:pPr>
        <w:pStyle w:val="Normal"/>
        <w:jc w:val="center"/>
        <w:rPr>
          <w:b/>
          <w:b/>
          <w:bCs/>
        </w:rPr>
      </w:pPr>
      <w:r>
        <w:rPr>
          <w:b/>
          <w:bCs/>
        </w:rPr>
        <w:tab/>
        <w:t>НАЦРТ</w:t>
      </w:r>
    </w:p>
    <w:p>
      <w:pPr>
        <w:pStyle w:val="Normal"/>
        <w:jc w:val="center"/>
        <w:rPr>
          <w:b/>
          <w:b/>
        </w:rPr>
      </w:pPr>
      <w:r>
        <w:rPr>
          <w:b/>
        </w:rPr>
        <w:t xml:space="preserve">ЛОКАЛНИ АКЦИОНИ ПЛАН ЗАПОШЉАВАЊА </w:t>
      </w:r>
    </w:p>
    <w:p>
      <w:pPr>
        <w:pStyle w:val="Normal"/>
        <w:jc w:val="center"/>
        <w:rPr/>
      </w:pPr>
      <w:r>
        <w:rPr>
          <w:b/>
        </w:rPr>
        <w:t>ОПШТИНЕ ЋИЋЕВАЦ ЗА 2022. и 2023. ГОДИНУ</w:t>
      </w:r>
    </w:p>
    <w:p>
      <w:pPr>
        <w:pStyle w:val="Normal"/>
        <w:jc w:val="center"/>
        <w:rPr>
          <w:b/>
          <w:b/>
        </w:rPr>
      </w:pPr>
      <w:r>
        <w:rPr>
          <w:b/>
        </w:rPr>
      </w:r>
    </w:p>
    <w:p>
      <w:pPr>
        <w:pStyle w:val="Normal"/>
        <w:jc w:val="center"/>
        <w:rPr>
          <w:b/>
          <w:b/>
        </w:rPr>
      </w:pPr>
      <w:r>
        <w:rPr>
          <w:b/>
        </w:rPr>
      </w:r>
    </w:p>
    <w:p>
      <w:pPr>
        <w:pStyle w:val="Normal"/>
        <w:ind w:firstLine="708"/>
        <w:jc w:val="both"/>
        <w:rPr/>
      </w:pPr>
      <w:r>
        <w:rPr>
          <w:b/>
        </w:rPr>
        <w:t>1. ОПШТЕ ИНФОРМАЦИЈЕ</w:t>
      </w:r>
    </w:p>
    <w:p>
      <w:pPr>
        <w:pStyle w:val="Normal"/>
        <w:ind w:firstLine="708"/>
        <w:jc w:val="both"/>
        <w:rPr>
          <w:b/>
          <w:b/>
        </w:rPr>
      </w:pPr>
      <w:r>
        <w:rPr>
          <w:b/>
        </w:rPr>
      </w:r>
    </w:p>
    <w:p>
      <w:pPr>
        <w:pStyle w:val="Normal"/>
        <w:ind w:firstLine="708"/>
        <w:jc w:val="both"/>
        <w:rPr>
          <w:b/>
          <w:b/>
        </w:rPr>
      </w:pPr>
      <w:r>
        <w:rPr>
          <w:b/>
        </w:rPr>
      </w:r>
    </w:p>
    <w:p>
      <w:pPr>
        <w:pStyle w:val="Normal"/>
        <w:numPr>
          <w:ilvl w:val="1"/>
          <w:numId w:val="3"/>
        </w:numPr>
        <w:jc w:val="both"/>
        <w:rPr/>
      </w:pPr>
      <w:r>
        <w:rPr>
          <w:b/>
        </w:rPr>
        <w:t>Опште информације о ЛАПЗ</w:t>
      </w:r>
    </w:p>
    <w:p>
      <w:pPr>
        <w:pStyle w:val="Normal"/>
        <w:jc w:val="both"/>
        <w:rPr/>
      </w:pPr>
      <w:r>
        <w:rPr/>
      </w:r>
    </w:p>
    <w:p>
      <w:pPr>
        <w:pStyle w:val="Normal"/>
        <w:jc w:val="both"/>
        <w:rPr/>
      </w:pPr>
      <w:r>
        <w:rPr/>
        <w:tab/>
        <w:t xml:space="preserve">Локални акциони план запошљавања представља оперативни документ локалне политике који има велики утицај на унапређење стања у области запошљавања на локалном нивоу. </w:t>
      </w:r>
    </w:p>
    <w:p>
      <w:pPr>
        <w:pStyle w:val="Normal"/>
        <w:ind w:firstLine="708"/>
        <w:jc w:val="both"/>
        <w:rPr/>
      </w:pPr>
      <w:r>
        <w:rPr/>
        <w:t xml:space="preserve">Локалним акционим  планом запошљавања општине Ћићевац за 2022. и 2023. годину (у даљем тексту: ЛАПЗ) утврђују се приоритети и циљеви политике запошљавања и утврђују програми и мере које мере које ће се реализовати у будућем периоду, а све у циљу повећања запослености. Основ за израду ЛАПЗ-а представља Акциони план запошљавања </w:t>
      </w:r>
      <w:bookmarkStart w:id="0" w:name="__DdeLink__31756_1323245438"/>
      <w:r>
        <w:rPr/>
        <w:t>за период од 2021. до 2023. године  за спровођење Стратегије запошљавања Републике Србије за период од 2021. до 2026. године.</w:t>
      </w:r>
      <w:bookmarkEnd w:id="0"/>
    </w:p>
    <w:p>
      <w:pPr>
        <w:pStyle w:val="Normal"/>
        <w:ind w:firstLine="708"/>
        <w:jc w:val="both"/>
        <w:rPr/>
      </w:pPr>
      <w:r>
        <w:rPr/>
        <w:t>Предмет ЛАПЗ-а  је решавање проблема у области запошљавања на територији  локалне заједнице , креирање локалне политике запошљавања и дефинисање програма и мера активне политике запошљавања у складу са локалним потребама и могућностима.</w:t>
      </w:r>
    </w:p>
    <w:p>
      <w:pPr>
        <w:pStyle w:val="Normal"/>
        <w:ind w:firstLine="708"/>
        <w:jc w:val="both"/>
        <w:rPr/>
      </w:pPr>
      <w:r>
        <w:rPr/>
      </w:r>
    </w:p>
    <w:p>
      <w:pPr>
        <w:pStyle w:val="Normal"/>
        <w:ind w:firstLine="708"/>
        <w:jc w:val="both"/>
        <w:rPr/>
      </w:pPr>
      <w:r>
        <w:rPr/>
        <w:t>Правни основ за доношење ЛАПЗ-а је:</w:t>
      </w:r>
    </w:p>
    <w:p>
      <w:pPr>
        <w:pStyle w:val="Normal"/>
        <w:ind w:firstLine="708"/>
        <w:jc w:val="both"/>
        <w:rPr/>
      </w:pPr>
      <w:r>
        <w:rPr/>
      </w:r>
    </w:p>
    <w:p>
      <w:pPr>
        <w:pStyle w:val="Normal"/>
        <w:ind w:left="113" w:hanging="0"/>
        <w:jc w:val="both"/>
        <w:rPr/>
      </w:pPr>
      <w:r>
        <w:rPr/>
        <w:t xml:space="preserve">          </w:t>
      </w:r>
      <w:r>
        <w:rPr/>
        <w:t>Закон о запошљавању и осигурању за случај незапослености („Службени гласник РС”, бр. 36/09, 88/10, 38/15 и 113/17 – др. закон и 49/21 )</w:t>
      </w:r>
    </w:p>
    <w:p>
      <w:pPr>
        <w:pStyle w:val="Normal"/>
        <w:jc w:val="both"/>
        <w:rPr/>
      </w:pPr>
      <w:r>
        <w:rPr/>
        <w:t xml:space="preserve">        </w:t>
      </w:r>
      <w:r>
        <w:rPr/>
        <w:t>Њиме се дефинишу: носиоци послова запошљавања и њихове дужности, мере активне политике запошљавања, финансирање мера активне политике запошљавања, праћење и оцена ефеката мера, права и обавезе незапослених лица и послодаваца, осигурање за случај незапослености. Правни основ за припрему и спровођење ЛСПЗ-а је члан 41. Закона о запошљавању у случају назпослености.</w:t>
      </w:r>
    </w:p>
    <w:p>
      <w:pPr>
        <w:pStyle w:val="Normal"/>
        <w:jc w:val="both"/>
        <w:rPr/>
      </w:pPr>
      <w:r>
        <w:rPr/>
        <w:tab/>
        <w:t xml:space="preserve">Закон о професионалној </w:t>
      </w:r>
      <w:r>
        <w:rPr>
          <w:lang w:val="sr-Latn-RS"/>
        </w:rPr>
        <w:t>рехабилитациjи</w:t>
      </w:r>
      <w:r>
        <w:rPr/>
        <w:t xml:space="preserve"> и запошљавању особа са инвалидитетом („Службени гласник РС”, бр. 36/09 и </w:t>
      </w:r>
      <w:r>
        <w:rPr>
          <w:lang w:val="sr-Latn-RS"/>
        </w:rPr>
        <w:t>32/2013)</w:t>
      </w:r>
      <w:r>
        <w:rPr/>
        <w:t>, којим се регулишу подстицаји за запошљавање ове категорије становништва ради стварања услова за њихово равноправно укључивање на тржиште рада, процена радних способности, професионална рехабилитација и др.</w:t>
      </w:r>
    </w:p>
    <w:p>
      <w:pPr>
        <w:pStyle w:val="Normal"/>
        <w:jc w:val="both"/>
        <w:rPr/>
      </w:pPr>
      <w:r>
        <w:rPr/>
        <w:tab/>
        <w:t>Доношењем Закона о планском систему Републике Србије, као и усвајањем Уредбе о методологији управљања јавним политикама, анализи ефеката јавних политика и прописа и садржају појединачних докумената јавних политика, ближе су одређени процеси израде и усвајања докумената јавних политика, те се поред усаглашавања са Законом о запошљавању и осигурању за случај незапослености, ЛАПЗ општине Ћићевац мора усагласити и са Законом о планском систему.</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firstLine="708"/>
        <w:jc w:val="both"/>
        <w:rPr/>
      </w:pPr>
      <w:r>
        <w:rPr/>
      </w:r>
    </w:p>
    <w:p>
      <w:pPr>
        <w:pStyle w:val="Normal"/>
        <w:ind w:firstLine="708"/>
        <w:jc w:val="both"/>
        <w:rPr>
          <w:b/>
          <w:b/>
          <w:bCs/>
        </w:rPr>
      </w:pPr>
      <w:r>
        <w:rPr>
          <w:b/>
          <w:bCs/>
        </w:rPr>
        <w:t>1.2. Услови за усвајање ЛАПЗ</w:t>
      </w:r>
    </w:p>
    <w:p>
      <w:pPr>
        <w:pStyle w:val="Normal"/>
        <w:ind w:firstLine="708"/>
        <w:jc w:val="both"/>
        <w:rPr>
          <w:b/>
          <w:b/>
          <w:bCs/>
        </w:rPr>
      </w:pPr>
      <w:r>
        <w:rPr>
          <w:b/>
          <w:bCs/>
        </w:rPr>
      </w:r>
    </w:p>
    <w:p>
      <w:pPr>
        <w:pStyle w:val="Normal"/>
        <w:ind w:firstLine="720"/>
        <w:jc w:val="both"/>
        <w:rPr/>
      </w:pPr>
      <w:r>
        <w:rPr/>
        <w:t>Услов за одобравање суфинансирања програма или мера активне политике запошљавања је да локална самоуправа има формиран ЛСЗ,  усаглашен ЛАПЗ са Акционим планом запошљавања за период од 2021. до 2023. године, обезбеђена средства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pPr>
        <w:pStyle w:val="Normal"/>
        <w:ind w:firstLine="720"/>
        <w:jc w:val="both"/>
        <w:rPr/>
      </w:pPr>
      <w:r>
        <w:rPr/>
        <w:t>На ЛАПЗ претходно мишљење дао је ЛСЗ општине Ћићевац.</w:t>
      </w:r>
    </w:p>
    <w:p>
      <w:pPr>
        <w:pStyle w:val="Normal"/>
        <w:ind w:firstLine="720"/>
        <w:jc w:val="both"/>
        <w:rPr/>
      </w:pPr>
      <w:r>
        <w:rPr/>
      </w:r>
    </w:p>
    <w:p>
      <w:pPr>
        <w:pStyle w:val="Normal"/>
        <w:ind w:firstLine="708"/>
        <w:jc w:val="both"/>
        <w:rPr/>
      </w:pPr>
      <w:r>
        <w:rPr/>
      </w:r>
    </w:p>
    <w:p>
      <w:pPr>
        <w:pStyle w:val="Normal"/>
        <w:rPr/>
      </w:pPr>
      <w:r>
        <w:rPr/>
      </w:r>
    </w:p>
    <w:p>
      <w:pPr>
        <w:pStyle w:val="Normal"/>
        <w:numPr>
          <w:ilvl w:val="0"/>
          <w:numId w:val="3"/>
        </w:numPr>
        <w:jc w:val="both"/>
        <w:rPr>
          <w:b/>
          <w:b/>
        </w:rPr>
      </w:pPr>
      <w:r>
        <w:rPr>
          <w:b/>
        </w:rPr>
        <w:t>ОСНОВНИ ПОДАЦИ О ЈЛС И КЉУЧНИ СОЦИО-ЕКОНОМСКИ ПОКАЗАТЕЉИ</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ind w:left="1068" w:hanging="0"/>
        <w:jc w:val="center"/>
        <w:rPr>
          <w:b/>
          <w:b/>
        </w:rPr>
      </w:pPr>
      <w:r>
        <w:rPr>
          <w:b/>
        </w:rPr>
      </w:r>
    </w:p>
    <w:p>
      <w:pPr>
        <w:pStyle w:val="Normal"/>
        <w:jc w:val="center"/>
        <w:rPr/>
      </w:pPr>
      <w:r>
        <w:rPr>
          <w:b/>
        </w:rPr>
        <w:t>2.1.  Основни подаци о општини Ћићевац</w:t>
      </w:r>
    </w:p>
    <w:p>
      <w:pPr>
        <w:pStyle w:val="Normal"/>
        <w:jc w:val="center"/>
        <w:rPr>
          <w:b/>
          <w:b/>
        </w:rPr>
      </w:pPr>
      <w:r>
        <w:rPr>
          <w:b/>
        </w:rPr>
      </w:r>
    </w:p>
    <w:p>
      <w:pPr>
        <w:pStyle w:val="Normal"/>
        <w:ind w:left="1068" w:hanging="0"/>
        <w:jc w:val="both"/>
        <w:rPr>
          <w:b/>
          <w:b/>
          <w:sz w:val="12"/>
        </w:rPr>
      </w:pPr>
      <w:r>
        <w:rPr>
          <w:b/>
          <w:sz w:val="12"/>
        </w:rPr>
      </w:r>
    </w:p>
    <w:p>
      <w:pPr>
        <w:pStyle w:val="Normal"/>
        <w:ind w:firstLine="708"/>
        <w:jc w:val="both"/>
        <w:rPr/>
      </w:pPr>
      <w:r>
        <w:rPr/>
        <w:t xml:space="preserve">Општина Ћићевац налази се у централној Србији, Расинском округу,  на раскрсници свих важних саобраћајница, и као таква погодна за развој и  привлачење нових инвестиција.  </w:t>
      </w:r>
    </w:p>
    <w:p>
      <w:pPr>
        <w:pStyle w:val="NormalWeb"/>
        <w:spacing w:before="0" w:after="0"/>
        <w:ind w:firstLine="705"/>
        <w:jc w:val="both"/>
        <w:textAlignment w:val="baseline"/>
        <w:rPr/>
      </w:pPr>
      <w:r>
        <w:rPr/>
        <w:tab/>
        <w:t xml:space="preserve">Ћићевац  је седиште истоимене општине са 10 насељених места, простире се на површини од 124 км </w:t>
      </w:r>
      <w:r>
        <w:rPr>
          <w:vertAlign w:val="superscript"/>
        </w:rPr>
        <w:t xml:space="preserve">2 </w:t>
      </w:r>
      <w:r>
        <w:rPr/>
        <w:t xml:space="preserve"> и има 9446 становника. </w:t>
      </w:r>
    </w:p>
    <w:p>
      <w:pPr>
        <w:pStyle w:val="Normal"/>
        <w:ind w:firstLine="705"/>
        <w:jc w:val="both"/>
        <w:rPr/>
      </w:pPr>
      <w:r>
        <w:rPr>
          <w:color w:val="000000"/>
        </w:rPr>
        <w:t>Највеће насеље у општини је Ћићевац и то је уједно административни, привредни и културни центар општине.</w:t>
      </w:r>
    </w:p>
    <w:p>
      <w:pPr>
        <w:pStyle w:val="NormalWeb"/>
        <w:spacing w:before="0" w:after="0"/>
        <w:ind w:firstLine="709"/>
        <w:jc w:val="both"/>
        <w:textAlignment w:val="baseline"/>
        <w:rPr/>
      </w:pPr>
      <w:r>
        <w:rPr>
          <w:color w:val="000000"/>
        </w:rPr>
        <w:t xml:space="preserve">Друго насељено место по величини је Сталаћ, затим Појате, Лучина, Град Сталаћ, Плочник, Мрзеница, Трубарево, Браљина и Мојсиње. </w:t>
      </w:r>
      <w:r>
        <w:rPr/>
        <w:t xml:space="preserve">Окружен је територијама града Крушевца, општине Варварин, Параћин и Ражањ. </w:t>
      </w:r>
    </w:p>
    <w:p>
      <w:pPr>
        <w:pStyle w:val="NormalWeb"/>
        <w:spacing w:before="0" w:after="0"/>
        <w:ind w:firstLine="709"/>
        <w:jc w:val="both"/>
        <w:textAlignment w:val="baseline"/>
        <w:rPr/>
      </w:pPr>
      <w:r>
        <w:rPr/>
        <w:t>Општина располаже богатим културно-историјским наслеђем и значајним природним ресурсима на којима се заснива садашњи, али и будући, економски и туристичики развој општине.</w:t>
      </w:r>
    </w:p>
    <w:p>
      <w:pPr>
        <w:pStyle w:val="NormalWeb"/>
        <w:spacing w:before="0" w:after="0"/>
        <w:ind w:firstLine="709"/>
        <w:jc w:val="both"/>
        <w:textAlignment w:val="baseline"/>
        <w:rPr/>
      </w:pPr>
      <w:r>
        <w:rPr/>
      </w:r>
    </w:p>
    <w:p>
      <w:pPr>
        <w:pStyle w:val="Normal"/>
        <w:jc w:val="center"/>
        <w:rPr/>
      </w:pPr>
      <w:r>
        <w:rPr>
          <w:b/>
        </w:rPr>
        <w:t>2.2. Основни демографски подаци</w:t>
      </w:r>
    </w:p>
    <w:p>
      <w:pPr>
        <w:pStyle w:val="Normal"/>
        <w:jc w:val="center"/>
        <w:rPr>
          <w:b/>
          <w:b/>
        </w:rPr>
      </w:pPr>
      <w:r>
        <w:rPr>
          <w:b/>
        </w:rPr>
      </w:r>
    </w:p>
    <w:p>
      <w:pPr>
        <w:pStyle w:val="Normal"/>
        <w:jc w:val="both"/>
        <w:rPr/>
      </w:pPr>
      <w:r>
        <w:rPr>
          <w:b/>
        </w:rPr>
        <w:tab/>
        <w:t>Становништво</w:t>
      </w:r>
      <w:r>
        <w:rPr/>
        <w:t xml:space="preserve"> – Према попису из 2011. године Расински округ има 240.463 становника, а општина Ћићевац 9.476 становника. Према процени Републиког завода за статистику из 2020. године општина Ћићевац има </w:t>
      </w:r>
      <w:r>
        <w:rPr>
          <w:lang w:val="sr-Latn-RS"/>
        </w:rPr>
        <w:t xml:space="preserve">8.406 </w:t>
      </w:r>
      <w:r>
        <w:rPr/>
        <w:t>становника.</w:t>
      </w:r>
    </w:p>
    <w:p>
      <w:pPr>
        <w:pStyle w:val="NormalWeb"/>
        <w:spacing w:before="0" w:after="0"/>
        <w:ind w:firstLine="705"/>
        <w:jc w:val="both"/>
        <w:textAlignment w:val="baseline"/>
        <w:rPr/>
      </w:pPr>
      <w:r>
        <w:rPr>
          <w:color w:val="000000"/>
          <w:highlight w:val="white"/>
        </w:rPr>
        <w:t>По насељима: Ћићевац-4894 становника, Сталаћ-1601 становника, Појате-901 становника, Лучина-837 становника, Град Сталаћ-716 становника, Плочник-528 становника, Мрзеница-189 становника, Браљина-77 становника, Трубарево-109 становника, Мојсиње-19 становника.</w:t>
      </w:r>
    </w:p>
    <w:p>
      <w:pPr>
        <w:pStyle w:val="Normal"/>
        <w:jc w:val="both"/>
        <w:rPr/>
      </w:pPr>
      <w:r>
        <w:rPr/>
        <w:tab/>
        <w:t>Просечна густина насељености у општини Ћићевац износи око 86 становника по квадратном километру, што је готово у рангу просека густине насељености на територији Републике Србије. Најмања густина насељености је у југоисточном, брдовитом делу Општине, а највећа у централном и северном делу, услед концетрације привредних капацитета и главних саобраћајних праваца.</w:t>
      </w:r>
    </w:p>
    <w:p>
      <w:pPr>
        <w:pStyle w:val="Normal"/>
        <w:jc w:val="both"/>
        <w:rPr/>
      </w:pPr>
      <w:r>
        <w:rPr/>
        <w:tab/>
        <w:t xml:space="preserve">У односу на попис становништва из 1991. године, становништво Општине просечно опада, односно представља карактеристично депопулацијско подручје у Србији у коме се пораст становништва не бележи ни у општинском центру. То је последица, пре свега, механичког одлива становништва и негативног природног прираштаја. У општинском центру у Ћићевцу живи готово половина становништва Општине (47%). </w:t>
      </w:r>
    </w:p>
    <w:p>
      <w:pPr>
        <w:pStyle w:val="Normal"/>
        <w:jc w:val="both"/>
        <w:rPr/>
      </w:pPr>
      <w:r>
        <w:rPr/>
      </w:r>
    </w:p>
    <w:p>
      <w:pPr>
        <w:pStyle w:val="Normal"/>
        <w:jc w:val="both"/>
        <w:rPr/>
      </w:pPr>
      <w:r>
        <w:rPr/>
      </w:r>
    </w:p>
    <w:p>
      <w:pPr>
        <w:pStyle w:val="Normal"/>
        <w:jc w:val="both"/>
        <w:rPr/>
      </w:pPr>
      <w:r>
        <w:rPr>
          <w:b/>
          <w:bCs/>
        </w:rPr>
        <w:t>Табела 1 – Основни подаци</w:t>
      </w:r>
    </w:p>
    <w:p>
      <w:pPr>
        <w:pStyle w:val="Normal"/>
        <w:jc w:val="both"/>
        <w:rPr/>
      </w:pPr>
      <w:r>
        <w:rPr/>
      </w:r>
    </w:p>
    <w:tbl>
      <w:tblPr>
        <w:tblW w:w="9638" w:type="dxa"/>
        <w:jc w:val="left"/>
        <w:tblInd w:w="0" w:type="dxa"/>
        <w:tblCellMar>
          <w:top w:w="55" w:type="dxa"/>
          <w:left w:w="55" w:type="dxa"/>
          <w:bottom w:w="55" w:type="dxa"/>
          <w:right w:w="55" w:type="dxa"/>
        </w:tblCellMar>
        <w:tblLook w:firstRow="1" w:noVBand="1" w:lastRow="0" w:firstColumn="1" w:lastColumn="0" w:noHBand="0" w:val="04a0"/>
      </w:tblPr>
      <w:tblGrid>
        <w:gridCol w:w="4817"/>
        <w:gridCol w:w="1598"/>
        <w:gridCol w:w="1602"/>
        <w:gridCol w:w="1620"/>
      </w:tblGrid>
      <w:tr>
        <w:trPr/>
        <w:tc>
          <w:tcPr>
            <w:tcW w:w="4817" w:type="dxa"/>
            <w:tcBorders>
              <w:top w:val="single" w:sz="2" w:space="0" w:color="000000"/>
              <w:left w:val="single" w:sz="2" w:space="0" w:color="000000"/>
              <w:bottom w:val="single" w:sz="2" w:space="0" w:color="000000"/>
            </w:tcBorders>
            <w:shd w:color="auto" w:fill="auto" w:val="clear"/>
          </w:tcPr>
          <w:p>
            <w:pPr>
              <w:pStyle w:val="TableContents"/>
              <w:jc w:val="center"/>
              <w:rPr/>
            </w:pPr>
            <w:r>
              <w:rPr/>
              <w:t>Површина (км</w:t>
            </w:r>
            <w:r>
              <w:rPr>
                <w:vertAlign w:val="superscript"/>
              </w:rPr>
              <w:t>2</w:t>
            </w:r>
            <w:r>
              <w:rPr/>
              <w:t>)</w:t>
            </w:r>
          </w:p>
        </w:tc>
        <w:tc>
          <w:tcPr>
            <w:tcW w:w="4820"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TableContents"/>
              <w:jc w:val="center"/>
              <w:rPr/>
            </w:pPr>
            <w:r>
              <w:rPr/>
              <w:t>124</w:t>
            </w:r>
          </w:p>
        </w:tc>
      </w:tr>
      <w:tr>
        <w:trPr/>
        <w:tc>
          <w:tcPr>
            <w:tcW w:w="4817" w:type="dxa"/>
            <w:tcBorders>
              <w:left w:val="single" w:sz="2" w:space="0" w:color="000000"/>
              <w:bottom w:val="single" w:sz="2" w:space="0" w:color="000000"/>
            </w:tcBorders>
            <w:shd w:color="auto" w:fill="auto" w:val="clear"/>
          </w:tcPr>
          <w:p>
            <w:pPr>
              <w:pStyle w:val="TableContents"/>
              <w:rPr/>
            </w:pPr>
            <w:r>
              <w:rPr/>
              <w:t xml:space="preserve">Број насеља </w:t>
            </w:r>
          </w:p>
        </w:tc>
        <w:tc>
          <w:tcPr>
            <w:tcW w:w="4820" w:type="dxa"/>
            <w:gridSpan w:val="3"/>
            <w:tcBorders>
              <w:left w:val="single" w:sz="2" w:space="0" w:color="000000"/>
              <w:bottom w:val="single" w:sz="2" w:space="0" w:color="000000"/>
              <w:right w:val="single" w:sz="2" w:space="0" w:color="000000"/>
            </w:tcBorders>
            <w:shd w:color="auto" w:fill="auto" w:val="clear"/>
          </w:tcPr>
          <w:p>
            <w:pPr>
              <w:pStyle w:val="TableContents"/>
              <w:jc w:val="center"/>
              <w:rPr/>
            </w:pPr>
            <w:r>
              <w:rPr/>
              <w:t>10</w:t>
            </w:r>
          </w:p>
        </w:tc>
      </w:tr>
      <w:tr>
        <w:trPr/>
        <w:tc>
          <w:tcPr>
            <w:tcW w:w="4817" w:type="dxa"/>
            <w:tcBorders>
              <w:left w:val="single" w:sz="2" w:space="0" w:color="000000"/>
              <w:bottom w:val="single" w:sz="2" w:space="0" w:color="000000"/>
            </w:tcBorders>
            <w:shd w:color="auto" w:fill="auto" w:val="clear"/>
          </w:tcPr>
          <w:p>
            <w:pPr>
              <w:pStyle w:val="TableContents"/>
              <w:rPr/>
            </w:pPr>
            <w:r>
              <w:rPr/>
              <w:t>Број становника</w:t>
            </w:r>
          </w:p>
        </w:tc>
        <w:tc>
          <w:tcPr>
            <w:tcW w:w="1598" w:type="dxa"/>
            <w:tcBorders>
              <w:left w:val="single" w:sz="2" w:space="0" w:color="000000"/>
              <w:bottom w:val="single" w:sz="2" w:space="0" w:color="000000"/>
            </w:tcBorders>
            <w:shd w:color="auto" w:fill="auto" w:val="clear"/>
          </w:tcPr>
          <w:p>
            <w:pPr>
              <w:pStyle w:val="TableContents"/>
              <w:jc w:val="center"/>
              <w:rPr>
                <w:lang w:val="sr-Latn-RS"/>
              </w:rPr>
            </w:pPr>
            <w:r>
              <w:rPr>
                <w:lang w:val="sr-Latn-RS"/>
              </w:rPr>
              <w:t>10.755(2002)</w:t>
            </w:r>
          </w:p>
        </w:tc>
        <w:tc>
          <w:tcPr>
            <w:tcW w:w="1602" w:type="dxa"/>
            <w:tcBorders>
              <w:left w:val="single" w:sz="2" w:space="0" w:color="000000"/>
              <w:bottom w:val="single" w:sz="2" w:space="0" w:color="000000"/>
            </w:tcBorders>
            <w:shd w:color="auto" w:fill="auto" w:val="clear"/>
          </w:tcPr>
          <w:p>
            <w:pPr>
              <w:pStyle w:val="TableContents"/>
              <w:jc w:val="center"/>
              <w:rPr>
                <w:lang w:val="sr-Latn-RS"/>
              </w:rPr>
            </w:pPr>
            <w:r>
              <w:rPr>
                <w:lang w:val="sr-Latn-RS"/>
              </w:rPr>
              <w:t>9.476 (2011)</w:t>
            </w:r>
          </w:p>
        </w:tc>
        <w:tc>
          <w:tcPr>
            <w:tcW w:w="1620" w:type="dxa"/>
            <w:tcBorders>
              <w:left w:val="single" w:sz="2" w:space="0" w:color="000000"/>
              <w:bottom w:val="single" w:sz="2" w:space="0" w:color="000000"/>
              <w:right w:val="single" w:sz="2" w:space="0" w:color="000000"/>
            </w:tcBorders>
            <w:shd w:color="auto" w:fill="auto" w:val="clear"/>
          </w:tcPr>
          <w:p>
            <w:pPr>
              <w:pStyle w:val="TableContents"/>
              <w:jc w:val="center"/>
              <w:rPr>
                <w:lang w:val="sr-Latn-RS"/>
              </w:rPr>
            </w:pPr>
            <w:r>
              <w:rPr>
                <w:lang w:val="sr-Latn-RS"/>
              </w:rPr>
              <w:t>8.406 (2020)</w:t>
            </w:r>
          </w:p>
        </w:tc>
      </w:tr>
    </w:tbl>
    <w:p>
      <w:pPr>
        <w:pStyle w:val="Normal"/>
        <w:jc w:val="both"/>
        <w:rPr/>
      </w:pPr>
      <w:r>
        <w:rPr/>
      </w:r>
    </w:p>
    <w:p>
      <w:pPr>
        <w:pStyle w:val="Normal"/>
        <w:jc w:val="both"/>
        <w:rPr/>
      </w:pPr>
      <w:r>
        <w:rPr>
          <w:b/>
          <w:bCs/>
        </w:rPr>
        <w:t>Полна структура становништва</w:t>
      </w:r>
      <w:r>
        <w:rPr/>
        <w:t xml:space="preserve"> у општини Ћићевац према подацима из 2020. године је следећа: 4.180 мушкараца (49,73) и 4.226 жена (50,27), што је структура која је приближна просеку у Републици Србији.</w:t>
      </w:r>
    </w:p>
    <w:p>
      <w:pPr>
        <w:pStyle w:val="Normal"/>
        <w:jc w:val="both"/>
        <w:rPr/>
      </w:pPr>
      <w:r>
        <w:rPr/>
      </w:r>
    </w:p>
    <w:p>
      <w:pPr>
        <w:pStyle w:val="Normal"/>
        <w:jc w:val="both"/>
        <w:rPr/>
      </w:pPr>
      <w:r>
        <w:rPr>
          <w:b/>
          <w:bCs/>
        </w:rPr>
        <w:t>Старосна структура становништва</w:t>
      </w:r>
      <w:r>
        <w:rPr/>
        <w:t xml:space="preserve"> је неповољна и огледа се у великом проценту особа старијих од 60 година, који чине 28,5% од укупног броја становника.</w:t>
      </w:r>
    </w:p>
    <w:p>
      <w:pPr>
        <w:pStyle w:val="Normal"/>
        <w:jc w:val="both"/>
        <w:rPr/>
      </w:pPr>
      <w:r>
        <w:rPr/>
        <w:t>На нивоу Србије проценат станвоника старијих од 60 година је 22,5% па се може рећи да општина Ћићевац преалзи републички просек и има веома неповољну старосну структуру.</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Табела 2 – Старосна структура становништва општине Ћићевац</w:t>
      </w:r>
    </w:p>
    <w:p>
      <w:pPr>
        <w:pStyle w:val="Normal"/>
        <w:jc w:val="both"/>
        <w:rPr>
          <w:b/>
          <w:b/>
          <w:bCs/>
        </w:rPr>
      </w:pPr>
      <w:r>
        <w:rPr>
          <w:b/>
          <w:bCs/>
        </w:rPr>
      </w:r>
    </w:p>
    <w:tbl>
      <w:tblPr>
        <w:tblW w:w="9638" w:type="dxa"/>
        <w:jc w:val="left"/>
        <w:tblInd w:w="0" w:type="dxa"/>
        <w:tblCellMar>
          <w:top w:w="55" w:type="dxa"/>
          <w:left w:w="55" w:type="dxa"/>
          <w:bottom w:w="55" w:type="dxa"/>
          <w:right w:w="55" w:type="dxa"/>
        </w:tblCellMar>
        <w:tblLook w:firstRow="1" w:noVBand="1" w:lastRow="0" w:firstColumn="1" w:lastColumn="0" w:noHBand="0" w:val="04a0"/>
      </w:tblPr>
      <w:tblGrid>
        <w:gridCol w:w="3212"/>
        <w:gridCol w:w="3195"/>
        <w:gridCol w:w="3231"/>
      </w:tblGrid>
      <w:tr>
        <w:trPr/>
        <w:tc>
          <w:tcPr>
            <w:tcW w:w="3212" w:type="dxa"/>
            <w:tcBorders>
              <w:top w:val="single" w:sz="2" w:space="0" w:color="000000"/>
              <w:left w:val="single" w:sz="2" w:space="0" w:color="000000"/>
              <w:bottom w:val="single" w:sz="2" w:space="0" w:color="000000"/>
            </w:tcBorders>
            <w:shd w:color="auto" w:fill="auto" w:val="clear"/>
          </w:tcPr>
          <w:p>
            <w:pPr>
              <w:pStyle w:val="TableContents"/>
              <w:jc w:val="center"/>
              <w:rPr/>
            </w:pPr>
            <w:r>
              <w:rPr/>
              <w:t>Старосна доб</w:t>
            </w:r>
          </w:p>
        </w:tc>
        <w:tc>
          <w:tcPr>
            <w:tcW w:w="3195" w:type="dxa"/>
            <w:tcBorders>
              <w:top w:val="single" w:sz="2" w:space="0" w:color="000000"/>
              <w:left w:val="single" w:sz="2" w:space="0" w:color="000000"/>
              <w:bottom w:val="single" w:sz="2" w:space="0" w:color="000000"/>
            </w:tcBorders>
            <w:shd w:color="auto" w:fill="auto" w:val="clear"/>
          </w:tcPr>
          <w:p>
            <w:pPr>
              <w:pStyle w:val="TableContents"/>
              <w:jc w:val="center"/>
              <w:rPr/>
            </w:pPr>
            <w:r>
              <w:rPr/>
              <w:t>Број становника</w:t>
            </w:r>
          </w:p>
        </w:tc>
        <w:tc>
          <w:tcPr>
            <w:tcW w:w="3231"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jc w:val="center"/>
              <w:rPr/>
            </w:pPr>
            <w:r>
              <w:rPr/>
              <w:t>Проценат заступљености у укупном броју становника</w:t>
            </w:r>
          </w:p>
        </w:tc>
      </w:tr>
      <w:tr>
        <w:trPr/>
        <w:tc>
          <w:tcPr>
            <w:tcW w:w="3212" w:type="dxa"/>
            <w:tcBorders>
              <w:left w:val="single" w:sz="2" w:space="0" w:color="000000"/>
              <w:bottom w:val="single" w:sz="2" w:space="0" w:color="000000"/>
            </w:tcBorders>
            <w:shd w:color="auto" w:fill="auto" w:val="clear"/>
          </w:tcPr>
          <w:p>
            <w:pPr>
              <w:pStyle w:val="TableContents"/>
              <w:jc w:val="center"/>
              <w:rPr/>
            </w:pPr>
            <w:r>
              <w:rPr/>
              <w:t>0-19</w:t>
            </w:r>
          </w:p>
        </w:tc>
        <w:tc>
          <w:tcPr>
            <w:tcW w:w="3195" w:type="dxa"/>
            <w:tcBorders>
              <w:left w:val="single" w:sz="2" w:space="0" w:color="000000"/>
              <w:bottom w:val="single" w:sz="2" w:space="0" w:color="000000"/>
            </w:tcBorders>
            <w:shd w:color="auto" w:fill="auto" w:val="clear"/>
          </w:tcPr>
          <w:p>
            <w:pPr>
              <w:pStyle w:val="TableContents"/>
              <w:jc w:val="center"/>
              <w:rPr/>
            </w:pPr>
            <w:r>
              <w:rPr/>
              <w:t>1.820</w:t>
            </w:r>
          </w:p>
        </w:tc>
        <w:tc>
          <w:tcPr>
            <w:tcW w:w="3231" w:type="dxa"/>
            <w:tcBorders>
              <w:left w:val="single" w:sz="2" w:space="0" w:color="000000"/>
              <w:bottom w:val="single" w:sz="2" w:space="0" w:color="000000"/>
              <w:right w:val="single" w:sz="2" w:space="0" w:color="000000"/>
            </w:tcBorders>
            <w:shd w:color="auto" w:fill="auto" w:val="clear"/>
          </w:tcPr>
          <w:p>
            <w:pPr>
              <w:pStyle w:val="TableContents"/>
              <w:jc w:val="center"/>
              <w:rPr/>
            </w:pPr>
            <w:r>
              <w:rPr/>
              <w:t>19,2%</w:t>
            </w:r>
          </w:p>
        </w:tc>
      </w:tr>
      <w:tr>
        <w:trPr/>
        <w:tc>
          <w:tcPr>
            <w:tcW w:w="3212" w:type="dxa"/>
            <w:tcBorders>
              <w:left w:val="single" w:sz="2" w:space="0" w:color="000000"/>
              <w:bottom w:val="single" w:sz="2" w:space="0" w:color="000000"/>
            </w:tcBorders>
            <w:shd w:color="auto" w:fill="auto" w:val="clear"/>
          </w:tcPr>
          <w:p>
            <w:pPr>
              <w:pStyle w:val="TableContents"/>
              <w:jc w:val="center"/>
              <w:rPr/>
            </w:pPr>
            <w:r>
              <w:rPr/>
              <w:t>20-39</w:t>
            </w:r>
          </w:p>
        </w:tc>
        <w:tc>
          <w:tcPr>
            <w:tcW w:w="3195" w:type="dxa"/>
            <w:tcBorders>
              <w:left w:val="single" w:sz="2" w:space="0" w:color="000000"/>
              <w:bottom w:val="single" w:sz="2" w:space="0" w:color="000000"/>
            </w:tcBorders>
            <w:shd w:color="auto" w:fill="auto" w:val="clear"/>
          </w:tcPr>
          <w:p>
            <w:pPr>
              <w:pStyle w:val="TableContents"/>
              <w:jc w:val="center"/>
              <w:rPr/>
            </w:pPr>
            <w:r>
              <w:rPr/>
              <w:t>2.213</w:t>
            </w:r>
          </w:p>
        </w:tc>
        <w:tc>
          <w:tcPr>
            <w:tcW w:w="3231" w:type="dxa"/>
            <w:tcBorders>
              <w:left w:val="single" w:sz="2" w:space="0" w:color="000000"/>
              <w:bottom w:val="single" w:sz="2" w:space="0" w:color="000000"/>
              <w:right w:val="single" w:sz="2" w:space="0" w:color="000000"/>
            </w:tcBorders>
            <w:shd w:color="auto" w:fill="auto" w:val="clear"/>
          </w:tcPr>
          <w:p>
            <w:pPr>
              <w:pStyle w:val="TableContents"/>
              <w:jc w:val="center"/>
              <w:rPr/>
            </w:pPr>
            <w:r>
              <w:rPr/>
              <w:t>23,4%</w:t>
            </w:r>
          </w:p>
        </w:tc>
      </w:tr>
      <w:tr>
        <w:trPr/>
        <w:tc>
          <w:tcPr>
            <w:tcW w:w="3212" w:type="dxa"/>
            <w:tcBorders>
              <w:left w:val="single" w:sz="2" w:space="0" w:color="000000"/>
              <w:bottom w:val="single" w:sz="2" w:space="0" w:color="000000"/>
            </w:tcBorders>
            <w:shd w:color="auto" w:fill="auto" w:val="clear"/>
          </w:tcPr>
          <w:p>
            <w:pPr>
              <w:pStyle w:val="TableContents"/>
              <w:jc w:val="center"/>
              <w:rPr/>
            </w:pPr>
            <w:r>
              <w:rPr/>
              <w:t>40-59</w:t>
            </w:r>
          </w:p>
        </w:tc>
        <w:tc>
          <w:tcPr>
            <w:tcW w:w="3195" w:type="dxa"/>
            <w:tcBorders>
              <w:left w:val="single" w:sz="2" w:space="0" w:color="000000"/>
              <w:bottom w:val="single" w:sz="2" w:space="0" w:color="000000"/>
            </w:tcBorders>
            <w:shd w:color="auto" w:fill="auto" w:val="clear"/>
          </w:tcPr>
          <w:p>
            <w:pPr>
              <w:pStyle w:val="TableContents"/>
              <w:jc w:val="center"/>
              <w:rPr/>
            </w:pPr>
            <w:r>
              <w:rPr/>
              <w:t>2.737</w:t>
            </w:r>
          </w:p>
        </w:tc>
        <w:tc>
          <w:tcPr>
            <w:tcW w:w="3231" w:type="dxa"/>
            <w:tcBorders>
              <w:left w:val="single" w:sz="2" w:space="0" w:color="000000"/>
              <w:bottom w:val="single" w:sz="2" w:space="0" w:color="000000"/>
              <w:right w:val="single" w:sz="2" w:space="0" w:color="000000"/>
            </w:tcBorders>
            <w:shd w:color="auto" w:fill="auto" w:val="clear"/>
          </w:tcPr>
          <w:p>
            <w:pPr>
              <w:pStyle w:val="TableContents"/>
              <w:jc w:val="center"/>
              <w:rPr/>
            </w:pPr>
            <w:r>
              <w:rPr/>
              <w:t>28,9%</w:t>
            </w:r>
          </w:p>
        </w:tc>
      </w:tr>
      <w:tr>
        <w:trPr/>
        <w:tc>
          <w:tcPr>
            <w:tcW w:w="3212" w:type="dxa"/>
            <w:tcBorders>
              <w:left w:val="single" w:sz="2" w:space="0" w:color="000000"/>
              <w:bottom w:val="single" w:sz="2" w:space="0" w:color="000000"/>
            </w:tcBorders>
            <w:shd w:color="auto" w:fill="auto" w:val="clear"/>
          </w:tcPr>
          <w:p>
            <w:pPr>
              <w:pStyle w:val="TableContents"/>
              <w:jc w:val="center"/>
              <w:rPr/>
            </w:pPr>
            <w:r>
              <w:rPr/>
              <w:t>60-79</w:t>
            </w:r>
          </w:p>
        </w:tc>
        <w:tc>
          <w:tcPr>
            <w:tcW w:w="3195" w:type="dxa"/>
            <w:tcBorders>
              <w:left w:val="single" w:sz="2" w:space="0" w:color="000000"/>
              <w:bottom w:val="single" w:sz="2" w:space="0" w:color="000000"/>
            </w:tcBorders>
            <w:shd w:color="auto" w:fill="auto" w:val="clear"/>
          </w:tcPr>
          <w:p>
            <w:pPr>
              <w:pStyle w:val="TableContents"/>
              <w:jc w:val="center"/>
              <w:rPr/>
            </w:pPr>
            <w:r>
              <w:rPr/>
              <w:t>2.233</w:t>
            </w:r>
          </w:p>
        </w:tc>
        <w:tc>
          <w:tcPr>
            <w:tcW w:w="3231" w:type="dxa"/>
            <w:tcBorders>
              <w:left w:val="single" w:sz="2" w:space="0" w:color="000000"/>
              <w:bottom w:val="single" w:sz="2" w:space="0" w:color="000000"/>
              <w:right w:val="single" w:sz="2" w:space="0" w:color="000000"/>
            </w:tcBorders>
            <w:shd w:color="auto" w:fill="auto" w:val="clear"/>
          </w:tcPr>
          <w:p>
            <w:pPr>
              <w:pStyle w:val="TableContents"/>
              <w:jc w:val="center"/>
              <w:rPr/>
            </w:pPr>
            <w:r>
              <w:rPr/>
              <w:t>23,5%</w:t>
            </w:r>
          </w:p>
        </w:tc>
      </w:tr>
      <w:tr>
        <w:trPr/>
        <w:tc>
          <w:tcPr>
            <w:tcW w:w="3212" w:type="dxa"/>
            <w:tcBorders>
              <w:left w:val="single" w:sz="2" w:space="0" w:color="000000"/>
              <w:bottom w:val="single" w:sz="2" w:space="0" w:color="000000"/>
            </w:tcBorders>
            <w:shd w:color="auto" w:fill="auto" w:val="clear"/>
          </w:tcPr>
          <w:p>
            <w:pPr>
              <w:pStyle w:val="TableContents"/>
              <w:jc w:val="center"/>
              <w:rPr/>
            </w:pPr>
            <w:r>
              <w:rPr/>
              <w:t>Преко 80</w:t>
            </w:r>
          </w:p>
        </w:tc>
        <w:tc>
          <w:tcPr>
            <w:tcW w:w="3195" w:type="dxa"/>
            <w:tcBorders>
              <w:left w:val="single" w:sz="2" w:space="0" w:color="000000"/>
              <w:bottom w:val="single" w:sz="2" w:space="0" w:color="000000"/>
            </w:tcBorders>
            <w:shd w:color="auto" w:fill="auto" w:val="clear"/>
          </w:tcPr>
          <w:p>
            <w:pPr>
              <w:pStyle w:val="TableContents"/>
              <w:jc w:val="center"/>
              <w:rPr/>
            </w:pPr>
            <w:r>
              <w:rPr/>
              <w:t>473</w:t>
            </w:r>
          </w:p>
        </w:tc>
        <w:tc>
          <w:tcPr>
            <w:tcW w:w="3231" w:type="dxa"/>
            <w:tcBorders>
              <w:left w:val="single" w:sz="2" w:space="0" w:color="000000"/>
              <w:bottom w:val="single" w:sz="2" w:space="0" w:color="000000"/>
              <w:right w:val="single" w:sz="2" w:space="0" w:color="000000"/>
            </w:tcBorders>
            <w:shd w:color="auto" w:fill="auto" w:val="clear"/>
          </w:tcPr>
          <w:p>
            <w:pPr>
              <w:pStyle w:val="TableContents"/>
              <w:jc w:val="center"/>
              <w:rPr/>
            </w:pPr>
            <w:r>
              <w:rPr/>
              <w:t>5%</w:t>
            </w:r>
          </w:p>
        </w:tc>
      </w:tr>
    </w:tbl>
    <w:p>
      <w:pPr>
        <w:pStyle w:val="Normal"/>
        <w:jc w:val="both"/>
        <w:rPr>
          <w:b/>
          <w:b/>
          <w:bCs/>
        </w:rPr>
      </w:pPr>
      <w:r>
        <w:rPr>
          <w:b/>
          <w:bCs/>
        </w:rPr>
      </w:r>
    </w:p>
    <w:p>
      <w:pPr>
        <w:pStyle w:val="Normal"/>
        <w:jc w:val="both"/>
        <w:rPr>
          <w:b/>
          <w:b/>
          <w:bCs/>
        </w:rPr>
      </w:pPr>
      <w:r>
        <w:rPr>
          <w:b/>
          <w:bCs/>
        </w:rPr>
        <w:t>Становништво према националној припадности</w:t>
      </w:r>
    </w:p>
    <w:p>
      <w:pPr>
        <w:pStyle w:val="Normal"/>
        <w:jc w:val="both"/>
        <w:rPr/>
      </w:pPr>
      <w:r>
        <w:rPr/>
        <w:t xml:space="preserve">Према попису из 2011. године од укупног броја становника 9.073 су Срби, затим Роми 187, Црногорци 12, а 38 су неопредељени.  </w:t>
      </w:r>
    </w:p>
    <w:p>
      <w:pPr>
        <w:pStyle w:val="Normal"/>
        <w:jc w:val="both"/>
        <w:rPr/>
      </w:pPr>
      <w:r>
        <w:rPr/>
      </w:r>
    </w:p>
    <w:p>
      <w:pPr>
        <w:pStyle w:val="Normal"/>
        <w:jc w:val="both"/>
        <w:rPr>
          <w:b/>
          <w:b/>
          <w:bCs/>
        </w:rPr>
      </w:pPr>
      <w:r>
        <w:rPr>
          <w:b/>
          <w:bCs/>
        </w:rPr>
        <w:t>Обрзовна структура становништва</w:t>
      </w:r>
    </w:p>
    <w:p>
      <w:pPr>
        <w:pStyle w:val="Normal"/>
        <w:jc w:val="both"/>
        <w:rPr>
          <w:b/>
          <w:b/>
          <w:bCs/>
        </w:rPr>
      </w:pPr>
      <w:r>
        <w:rPr>
          <w:b/>
          <w:bCs/>
        </w:rPr>
      </w:r>
    </w:p>
    <w:p>
      <w:pPr>
        <w:pStyle w:val="Normal"/>
        <w:jc w:val="both"/>
        <w:rPr/>
      </w:pPr>
      <w:r>
        <w:rPr/>
        <w:t>Анализирајући податке о образовној структури становништва уочава се да највеће учешће има становништво са непотпуним и основним образовањем – 44,5% , затим са средњим образовањем – 44%, док више и високо образовањем чини око 8% популације,  што је приказано у следећој табели.</w:t>
      </w:r>
    </w:p>
    <w:p>
      <w:pPr>
        <w:pStyle w:val="Normal"/>
        <w:jc w:val="both"/>
        <w:rPr>
          <w:b/>
          <w:b/>
          <w:bCs/>
        </w:rPr>
      </w:pPr>
      <w:r>
        <w:rPr>
          <w:b/>
          <w:bCs/>
        </w:rPr>
      </w:r>
    </w:p>
    <w:p>
      <w:pPr>
        <w:pStyle w:val="Normal"/>
        <w:jc w:val="both"/>
        <w:rPr>
          <w:b/>
          <w:b/>
          <w:bCs/>
        </w:rPr>
      </w:pPr>
      <w:r>
        <w:rPr>
          <w:b/>
          <w:bCs/>
        </w:rPr>
        <w:t>Табела 3 - Становништво старо 15 и више година према школској спреми (Попис 2012)</w:t>
      </w:r>
    </w:p>
    <w:p>
      <w:pPr>
        <w:pStyle w:val="Normal"/>
        <w:jc w:val="both"/>
        <w:rPr/>
      </w:pPr>
      <w:r>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926"/>
        <w:gridCol w:w="454"/>
        <w:gridCol w:w="757"/>
        <w:gridCol w:w="836"/>
        <w:gridCol w:w="1125"/>
        <w:gridCol w:w="1123"/>
        <w:gridCol w:w="1126"/>
        <w:gridCol w:w="1123"/>
        <w:gridCol w:w="1125"/>
        <w:gridCol w:w="1049"/>
      </w:tblGrid>
      <w:tr>
        <w:trPr/>
        <w:tc>
          <w:tcPr>
            <w:tcW w:w="926" w:type="dxa"/>
            <w:tcBorders>
              <w:top w:val="single" w:sz="2" w:space="0" w:color="000000"/>
              <w:left w:val="single" w:sz="2" w:space="0" w:color="000000"/>
              <w:bottom w:val="single" w:sz="2" w:space="0" w:color="000000"/>
            </w:tcBorders>
            <w:shd w:color="auto" w:fill="auto" w:val="clear"/>
          </w:tcPr>
          <w:p>
            <w:pPr>
              <w:pStyle w:val="TableContents"/>
              <w:rPr/>
            </w:pPr>
            <w:r>
              <w:rPr/>
              <w:t>Општина</w:t>
            </w:r>
          </w:p>
        </w:tc>
        <w:tc>
          <w:tcPr>
            <w:tcW w:w="454" w:type="dxa"/>
            <w:tcBorders>
              <w:top w:val="single" w:sz="2" w:space="0" w:color="000000"/>
              <w:left w:val="single" w:sz="2" w:space="0" w:color="000000"/>
              <w:bottom w:val="single" w:sz="2" w:space="0" w:color="000000"/>
            </w:tcBorders>
            <w:shd w:color="auto" w:fill="auto" w:val="clear"/>
          </w:tcPr>
          <w:p>
            <w:pPr>
              <w:pStyle w:val="TableContents"/>
              <w:rPr/>
            </w:pPr>
            <w:r>
              <w:rPr/>
              <w:t>Пол</w:t>
            </w:r>
          </w:p>
        </w:tc>
        <w:tc>
          <w:tcPr>
            <w:tcW w:w="757" w:type="dxa"/>
            <w:tcBorders>
              <w:top w:val="single" w:sz="2" w:space="0" w:color="000000"/>
              <w:left w:val="single" w:sz="2" w:space="0" w:color="000000"/>
              <w:bottom w:val="single" w:sz="2" w:space="0" w:color="000000"/>
            </w:tcBorders>
            <w:shd w:color="auto" w:fill="auto" w:val="clear"/>
          </w:tcPr>
          <w:p>
            <w:pPr>
              <w:pStyle w:val="TableContents"/>
              <w:rPr/>
            </w:pPr>
            <w:r>
              <w:rPr/>
              <w:t>Укупно</w:t>
            </w:r>
          </w:p>
        </w:tc>
        <w:tc>
          <w:tcPr>
            <w:tcW w:w="836" w:type="dxa"/>
            <w:tcBorders>
              <w:top w:val="single" w:sz="2" w:space="0" w:color="000000"/>
              <w:left w:val="single" w:sz="2" w:space="0" w:color="000000"/>
              <w:bottom w:val="single" w:sz="2" w:space="0" w:color="000000"/>
            </w:tcBorders>
            <w:shd w:color="auto" w:fill="auto" w:val="clear"/>
          </w:tcPr>
          <w:p>
            <w:pPr>
              <w:pStyle w:val="TableContents"/>
              <w:rPr/>
            </w:pPr>
            <w:r>
              <w:rPr/>
              <w:t>Без школске спреме</w:t>
            </w:r>
          </w:p>
        </w:tc>
        <w:tc>
          <w:tcPr>
            <w:tcW w:w="1125" w:type="dxa"/>
            <w:tcBorders>
              <w:top w:val="single" w:sz="2" w:space="0" w:color="000000"/>
              <w:left w:val="single" w:sz="2" w:space="0" w:color="000000"/>
              <w:bottom w:val="single" w:sz="2" w:space="0" w:color="000000"/>
            </w:tcBorders>
            <w:shd w:color="auto" w:fill="auto" w:val="clear"/>
          </w:tcPr>
          <w:p>
            <w:pPr>
              <w:pStyle w:val="TableContents"/>
              <w:rPr/>
            </w:pPr>
            <w:r>
              <w:rPr/>
              <w:t>Непотпуно основно образовање</w:t>
            </w:r>
          </w:p>
        </w:tc>
        <w:tc>
          <w:tcPr>
            <w:tcW w:w="1123" w:type="dxa"/>
            <w:tcBorders>
              <w:top w:val="single" w:sz="2" w:space="0" w:color="000000"/>
              <w:left w:val="single" w:sz="2" w:space="0" w:color="000000"/>
              <w:bottom w:val="single" w:sz="2" w:space="0" w:color="000000"/>
            </w:tcBorders>
            <w:shd w:color="auto" w:fill="auto" w:val="clear"/>
          </w:tcPr>
          <w:p>
            <w:pPr>
              <w:pStyle w:val="TableContents"/>
              <w:rPr/>
            </w:pPr>
            <w:r>
              <w:rPr/>
              <w:t>Основно образовање</w:t>
            </w:r>
          </w:p>
        </w:tc>
        <w:tc>
          <w:tcPr>
            <w:tcW w:w="1126" w:type="dxa"/>
            <w:tcBorders>
              <w:top w:val="single" w:sz="2" w:space="0" w:color="000000"/>
              <w:left w:val="single" w:sz="2" w:space="0" w:color="000000"/>
              <w:bottom w:val="single" w:sz="2" w:space="0" w:color="000000"/>
            </w:tcBorders>
            <w:shd w:color="auto" w:fill="auto" w:val="clear"/>
          </w:tcPr>
          <w:p>
            <w:pPr>
              <w:pStyle w:val="TableContents"/>
              <w:rPr/>
            </w:pPr>
            <w:r>
              <w:rPr/>
              <w:t>Средње образовање</w:t>
            </w:r>
          </w:p>
        </w:tc>
        <w:tc>
          <w:tcPr>
            <w:tcW w:w="1123" w:type="dxa"/>
            <w:tcBorders>
              <w:top w:val="single" w:sz="2" w:space="0" w:color="000000"/>
              <w:left w:val="single" w:sz="2" w:space="0" w:color="000000"/>
              <w:bottom w:val="single" w:sz="2" w:space="0" w:color="000000"/>
            </w:tcBorders>
            <w:shd w:color="auto" w:fill="auto" w:val="clear"/>
          </w:tcPr>
          <w:p>
            <w:pPr>
              <w:pStyle w:val="TableContents"/>
              <w:rPr/>
            </w:pPr>
            <w:r>
              <w:rPr/>
              <w:t>Више образовање</w:t>
            </w:r>
          </w:p>
        </w:tc>
        <w:tc>
          <w:tcPr>
            <w:tcW w:w="1125" w:type="dxa"/>
            <w:tcBorders>
              <w:top w:val="single" w:sz="2" w:space="0" w:color="000000"/>
              <w:left w:val="single" w:sz="2" w:space="0" w:color="000000"/>
              <w:bottom w:val="single" w:sz="2" w:space="0" w:color="000000"/>
            </w:tcBorders>
            <w:shd w:color="auto" w:fill="auto" w:val="clear"/>
          </w:tcPr>
          <w:p>
            <w:pPr>
              <w:pStyle w:val="TableContents"/>
              <w:rPr/>
            </w:pPr>
            <w:r>
              <w:rPr/>
              <w:t>Високо образовање</w:t>
            </w:r>
          </w:p>
        </w:tc>
        <w:tc>
          <w:tcPr>
            <w:tcW w:w="104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rPr/>
            </w:pPr>
            <w:r>
              <w:rPr/>
              <w:t>Непознато</w:t>
            </w:r>
          </w:p>
        </w:tc>
      </w:tr>
      <w:tr>
        <w:trPr/>
        <w:tc>
          <w:tcPr>
            <w:tcW w:w="926" w:type="dxa"/>
            <w:vMerge w:val="restart"/>
            <w:tcBorders>
              <w:left w:val="single" w:sz="2" w:space="0" w:color="000000"/>
              <w:bottom w:val="single" w:sz="2" w:space="0" w:color="000000"/>
            </w:tcBorders>
            <w:shd w:color="auto" w:fill="auto" w:val="clear"/>
          </w:tcPr>
          <w:p>
            <w:pPr>
              <w:pStyle w:val="TableContents"/>
              <w:rPr/>
            </w:pPr>
            <w:r>
              <w:rPr/>
              <w:t>Ћићевац</w:t>
            </w:r>
          </w:p>
        </w:tc>
        <w:tc>
          <w:tcPr>
            <w:tcW w:w="454" w:type="dxa"/>
            <w:tcBorders>
              <w:left w:val="single" w:sz="2" w:space="0" w:color="000000"/>
              <w:bottom w:val="single" w:sz="2" w:space="0" w:color="000000"/>
            </w:tcBorders>
            <w:shd w:color="auto" w:fill="auto" w:val="clear"/>
          </w:tcPr>
          <w:p>
            <w:pPr>
              <w:pStyle w:val="TableContents"/>
              <w:rPr/>
            </w:pPr>
            <w:r>
              <w:rPr/>
            </w:r>
          </w:p>
        </w:tc>
        <w:tc>
          <w:tcPr>
            <w:tcW w:w="757" w:type="dxa"/>
            <w:tcBorders>
              <w:left w:val="single" w:sz="2" w:space="0" w:color="000000"/>
              <w:bottom w:val="single" w:sz="2" w:space="0" w:color="000000"/>
            </w:tcBorders>
            <w:shd w:color="auto" w:fill="auto" w:val="clear"/>
          </w:tcPr>
          <w:p>
            <w:pPr>
              <w:pStyle w:val="TableContents"/>
              <w:rPr/>
            </w:pPr>
            <w:r>
              <w:rPr/>
              <w:t>8.216</w:t>
            </w:r>
          </w:p>
        </w:tc>
        <w:tc>
          <w:tcPr>
            <w:tcW w:w="836" w:type="dxa"/>
            <w:tcBorders>
              <w:left w:val="single" w:sz="2" w:space="0" w:color="000000"/>
              <w:bottom w:val="single" w:sz="2" w:space="0" w:color="000000"/>
            </w:tcBorders>
            <w:shd w:color="auto" w:fill="auto" w:val="clear"/>
          </w:tcPr>
          <w:p>
            <w:pPr>
              <w:pStyle w:val="TableContents"/>
              <w:rPr/>
            </w:pPr>
            <w:r>
              <w:rPr/>
              <w:t>266</w:t>
            </w:r>
          </w:p>
        </w:tc>
        <w:tc>
          <w:tcPr>
            <w:tcW w:w="1125" w:type="dxa"/>
            <w:tcBorders>
              <w:left w:val="single" w:sz="2" w:space="0" w:color="000000"/>
              <w:bottom w:val="single" w:sz="2" w:space="0" w:color="000000"/>
            </w:tcBorders>
            <w:shd w:color="auto" w:fill="auto" w:val="clear"/>
          </w:tcPr>
          <w:p>
            <w:pPr>
              <w:pStyle w:val="TableContents"/>
              <w:rPr/>
            </w:pPr>
            <w:r>
              <w:rPr/>
              <w:t>1.428</w:t>
            </w:r>
          </w:p>
        </w:tc>
        <w:tc>
          <w:tcPr>
            <w:tcW w:w="1123" w:type="dxa"/>
            <w:tcBorders>
              <w:left w:val="single" w:sz="2" w:space="0" w:color="000000"/>
              <w:bottom w:val="single" w:sz="2" w:space="0" w:color="000000"/>
            </w:tcBorders>
            <w:shd w:color="auto" w:fill="auto" w:val="clear"/>
          </w:tcPr>
          <w:p>
            <w:pPr>
              <w:pStyle w:val="TableContents"/>
              <w:rPr/>
            </w:pPr>
            <w:r>
              <w:rPr/>
              <w:t>2.231</w:t>
            </w:r>
          </w:p>
        </w:tc>
        <w:tc>
          <w:tcPr>
            <w:tcW w:w="1126" w:type="dxa"/>
            <w:tcBorders>
              <w:left w:val="single" w:sz="2" w:space="0" w:color="000000"/>
              <w:bottom w:val="single" w:sz="2" w:space="0" w:color="000000"/>
            </w:tcBorders>
            <w:shd w:color="auto" w:fill="auto" w:val="clear"/>
          </w:tcPr>
          <w:p>
            <w:pPr>
              <w:pStyle w:val="TableContents"/>
              <w:rPr/>
            </w:pPr>
            <w:r>
              <w:rPr/>
              <w:t>3.610</w:t>
            </w:r>
          </w:p>
        </w:tc>
        <w:tc>
          <w:tcPr>
            <w:tcW w:w="1123" w:type="dxa"/>
            <w:tcBorders>
              <w:left w:val="single" w:sz="2" w:space="0" w:color="000000"/>
              <w:bottom w:val="single" w:sz="2" w:space="0" w:color="000000"/>
            </w:tcBorders>
            <w:shd w:color="auto" w:fill="auto" w:val="clear"/>
          </w:tcPr>
          <w:p>
            <w:pPr>
              <w:pStyle w:val="TableContents"/>
              <w:rPr/>
            </w:pPr>
            <w:r>
              <w:rPr/>
              <w:t>341</w:t>
            </w:r>
          </w:p>
        </w:tc>
        <w:tc>
          <w:tcPr>
            <w:tcW w:w="1125" w:type="dxa"/>
            <w:tcBorders>
              <w:left w:val="single" w:sz="2" w:space="0" w:color="000000"/>
              <w:bottom w:val="single" w:sz="2" w:space="0" w:color="000000"/>
            </w:tcBorders>
            <w:shd w:color="auto" w:fill="auto" w:val="clear"/>
          </w:tcPr>
          <w:p>
            <w:pPr>
              <w:pStyle w:val="TableContents"/>
              <w:rPr/>
            </w:pPr>
            <w:r>
              <w:rPr/>
              <w:t>314</w:t>
            </w:r>
          </w:p>
        </w:tc>
        <w:tc>
          <w:tcPr>
            <w:tcW w:w="1049" w:type="dxa"/>
            <w:tcBorders>
              <w:left w:val="single" w:sz="2" w:space="0" w:color="000000"/>
              <w:bottom w:val="single" w:sz="2" w:space="0" w:color="000000"/>
              <w:right w:val="single" w:sz="2" w:space="0" w:color="000000"/>
            </w:tcBorders>
            <w:shd w:color="auto" w:fill="auto" w:val="clear"/>
          </w:tcPr>
          <w:p>
            <w:pPr>
              <w:pStyle w:val="TableContents"/>
              <w:rPr/>
            </w:pPr>
            <w:r>
              <w:rPr/>
              <w:t>26</w:t>
            </w:r>
          </w:p>
        </w:tc>
      </w:tr>
      <w:tr>
        <w:trPr/>
        <w:tc>
          <w:tcPr>
            <w:tcW w:w="926" w:type="dxa"/>
            <w:vMerge w:val="continue"/>
            <w:tcBorders>
              <w:left w:val="single" w:sz="2" w:space="0" w:color="000000"/>
              <w:bottom w:val="single" w:sz="2" w:space="0" w:color="000000"/>
            </w:tcBorders>
            <w:shd w:color="auto" w:fill="auto" w:val="clear"/>
          </w:tcPr>
          <w:p>
            <w:pPr>
              <w:pStyle w:val="TableContents"/>
              <w:rPr/>
            </w:pPr>
            <w:r>
              <w:rPr/>
            </w:r>
          </w:p>
        </w:tc>
        <w:tc>
          <w:tcPr>
            <w:tcW w:w="454" w:type="dxa"/>
            <w:tcBorders>
              <w:left w:val="single" w:sz="2" w:space="0" w:color="000000"/>
              <w:bottom w:val="single" w:sz="2" w:space="0" w:color="000000"/>
            </w:tcBorders>
            <w:shd w:color="auto" w:fill="auto" w:val="clear"/>
          </w:tcPr>
          <w:p>
            <w:pPr>
              <w:pStyle w:val="TableContents"/>
              <w:rPr/>
            </w:pPr>
            <w:r>
              <w:rPr/>
              <w:t>м</w:t>
            </w:r>
          </w:p>
        </w:tc>
        <w:tc>
          <w:tcPr>
            <w:tcW w:w="757" w:type="dxa"/>
            <w:tcBorders>
              <w:left w:val="single" w:sz="2" w:space="0" w:color="000000"/>
              <w:bottom w:val="single" w:sz="2" w:space="0" w:color="000000"/>
            </w:tcBorders>
            <w:shd w:color="auto" w:fill="auto" w:val="clear"/>
          </w:tcPr>
          <w:p>
            <w:pPr>
              <w:pStyle w:val="TableContents"/>
              <w:rPr/>
            </w:pPr>
            <w:r>
              <w:rPr/>
              <w:t>3.985</w:t>
            </w:r>
          </w:p>
        </w:tc>
        <w:tc>
          <w:tcPr>
            <w:tcW w:w="836" w:type="dxa"/>
            <w:tcBorders>
              <w:left w:val="single" w:sz="2" w:space="0" w:color="000000"/>
              <w:bottom w:val="single" w:sz="2" w:space="0" w:color="000000"/>
            </w:tcBorders>
            <w:shd w:color="auto" w:fill="auto" w:val="clear"/>
          </w:tcPr>
          <w:p>
            <w:pPr>
              <w:pStyle w:val="TableContents"/>
              <w:rPr/>
            </w:pPr>
            <w:r>
              <w:rPr/>
              <w:t>33</w:t>
            </w:r>
          </w:p>
        </w:tc>
        <w:tc>
          <w:tcPr>
            <w:tcW w:w="1125" w:type="dxa"/>
            <w:tcBorders>
              <w:left w:val="single" w:sz="2" w:space="0" w:color="000000"/>
              <w:bottom w:val="single" w:sz="2" w:space="0" w:color="000000"/>
            </w:tcBorders>
            <w:shd w:color="auto" w:fill="auto" w:val="clear"/>
          </w:tcPr>
          <w:p>
            <w:pPr>
              <w:pStyle w:val="TableContents"/>
              <w:rPr/>
            </w:pPr>
            <w:r>
              <w:rPr/>
              <w:t>489</w:t>
            </w:r>
          </w:p>
        </w:tc>
        <w:tc>
          <w:tcPr>
            <w:tcW w:w="1123" w:type="dxa"/>
            <w:tcBorders>
              <w:left w:val="single" w:sz="2" w:space="0" w:color="000000"/>
              <w:bottom w:val="single" w:sz="2" w:space="0" w:color="000000"/>
            </w:tcBorders>
            <w:shd w:color="auto" w:fill="auto" w:val="clear"/>
          </w:tcPr>
          <w:p>
            <w:pPr>
              <w:pStyle w:val="TableContents"/>
              <w:rPr/>
            </w:pPr>
            <w:r>
              <w:rPr/>
              <w:t>1.063</w:t>
            </w:r>
          </w:p>
        </w:tc>
        <w:tc>
          <w:tcPr>
            <w:tcW w:w="1126" w:type="dxa"/>
            <w:tcBorders>
              <w:left w:val="single" w:sz="2" w:space="0" w:color="000000"/>
              <w:bottom w:val="single" w:sz="2" w:space="0" w:color="000000"/>
            </w:tcBorders>
            <w:shd w:color="auto" w:fill="auto" w:val="clear"/>
          </w:tcPr>
          <w:p>
            <w:pPr>
              <w:pStyle w:val="TableContents"/>
              <w:rPr/>
            </w:pPr>
            <w:r>
              <w:rPr/>
              <w:t>2.062</w:t>
            </w:r>
          </w:p>
        </w:tc>
        <w:tc>
          <w:tcPr>
            <w:tcW w:w="1123" w:type="dxa"/>
            <w:tcBorders>
              <w:left w:val="single" w:sz="2" w:space="0" w:color="000000"/>
              <w:bottom w:val="single" w:sz="2" w:space="0" w:color="000000"/>
            </w:tcBorders>
            <w:shd w:color="auto" w:fill="auto" w:val="clear"/>
          </w:tcPr>
          <w:p>
            <w:pPr>
              <w:pStyle w:val="TableContents"/>
              <w:rPr/>
            </w:pPr>
            <w:r>
              <w:rPr/>
              <w:t>175</w:t>
            </w:r>
          </w:p>
        </w:tc>
        <w:tc>
          <w:tcPr>
            <w:tcW w:w="1125" w:type="dxa"/>
            <w:tcBorders>
              <w:left w:val="single" w:sz="2" w:space="0" w:color="000000"/>
              <w:bottom w:val="single" w:sz="2" w:space="0" w:color="000000"/>
            </w:tcBorders>
            <w:shd w:color="auto" w:fill="auto" w:val="clear"/>
          </w:tcPr>
          <w:p>
            <w:pPr>
              <w:pStyle w:val="TableContents"/>
              <w:rPr/>
            </w:pPr>
            <w:r>
              <w:rPr/>
              <w:t>159</w:t>
            </w:r>
          </w:p>
        </w:tc>
        <w:tc>
          <w:tcPr>
            <w:tcW w:w="1049" w:type="dxa"/>
            <w:tcBorders>
              <w:left w:val="single" w:sz="2" w:space="0" w:color="000000"/>
              <w:bottom w:val="single" w:sz="2" w:space="0" w:color="000000"/>
              <w:right w:val="single" w:sz="2" w:space="0" w:color="000000"/>
            </w:tcBorders>
            <w:shd w:color="auto" w:fill="auto" w:val="clear"/>
          </w:tcPr>
          <w:p>
            <w:pPr>
              <w:pStyle w:val="TableContents"/>
              <w:rPr/>
            </w:pPr>
            <w:r>
              <w:rPr/>
              <w:t>14</w:t>
            </w:r>
          </w:p>
        </w:tc>
      </w:tr>
      <w:tr>
        <w:trPr/>
        <w:tc>
          <w:tcPr>
            <w:tcW w:w="926" w:type="dxa"/>
            <w:vMerge w:val="continue"/>
            <w:tcBorders>
              <w:left w:val="single" w:sz="2" w:space="0" w:color="000000"/>
              <w:bottom w:val="single" w:sz="2" w:space="0" w:color="000000"/>
            </w:tcBorders>
            <w:shd w:color="auto" w:fill="auto" w:val="clear"/>
          </w:tcPr>
          <w:p>
            <w:pPr>
              <w:pStyle w:val="TableContents"/>
              <w:rPr/>
            </w:pPr>
            <w:r>
              <w:rPr/>
            </w:r>
          </w:p>
        </w:tc>
        <w:tc>
          <w:tcPr>
            <w:tcW w:w="454" w:type="dxa"/>
            <w:tcBorders>
              <w:left w:val="single" w:sz="2" w:space="0" w:color="000000"/>
              <w:bottom w:val="single" w:sz="2" w:space="0" w:color="000000"/>
            </w:tcBorders>
            <w:shd w:color="auto" w:fill="auto" w:val="clear"/>
          </w:tcPr>
          <w:p>
            <w:pPr>
              <w:pStyle w:val="TableContents"/>
              <w:rPr/>
            </w:pPr>
            <w:r>
              <w:rPr/>
              <w:t>ж</w:t>
            </w:r>
          </w:p>
        </w:tc>
        <w:tc>
          <w:tcPr>
            <w:tcW w:w="757" w:type="dxa"/>
            <w:tcBorders>
              <w:left w:val="single" w:sz="2" w:space="0" w:color="000000"/>
              <w:bottom w:val="single" w:sz="2" w:space="0" w:color="000000"/>
            </w:tcBorders>
            <w:shd w:color="auto" w:fill="auto" w:val="clear"/>
          </w:tcPr>
          <w:p>
            <w:pPr>
              <w:pStyle w:val="TableContents"/>
              <w:rPr/>
            </w:pPr>
            <w:r>
              <w:rPr/>
              <w:t>4.231</w:t>
            </w:r>
          </w:p>
        </w:tc>
        <w:tc>
          <w:tcPr>
            <w:tcW w:w="836" w:type="dxa"/>
            <w:tcBorders>
              <w:left w:val="single" w:sz="2" w:space="0" w:color="000000"/>
              <w:bottom w:val="single" w:sz="2" w:space="0" w:color="000000"/>
            </w:tcBorders>
            <w:shd w:color="auto" w:fill="auto" w:val="clear"/>
          </w:tcPr>
          <w:p>
            <w:pPr>
              <w:pStyle w:val="TableContents"/>
              <w:rPr/>
            </w:pPr>
            <w:r>
              <w:rPr/>
              <w:t>233</w:t>
            </w:r>
          </w:p>
        </w:tc>
        <w:tc>
          <w:tcPr>
            <w:tcW w:w="1125" w:type="dxa"/>
            <w:tcBorders>
              <w:left w:val="single" w:sz="2" w:space="0" w:color="000000"/>
              <w:bottom w:val="single" w:sz="2" w:space="0" w:color="000000"/>
            </w:tcBorders>
            <w:shd w:color="auto" w:fill="auto" w:val="clear"/>
          </w:tcPr>
          <w:p>
            <w:pPr>
              <w:pStyle w:val="TableContents"/>
              <w:rPr/>
            </w:pPr>
            <w:r>
              <w:rPr/>
              <w:t>439</w:t>
            </w:r>
          </w:p>
        </w:tc>
        <w:tc>
          <w:tcPr>
            <w:tcW w:w="1123" w:type="dxa"/>
            <w:tcBorders>
              <w:left w:val="single" w:sz="2" w:space="0" w:color="000000"/>
              <w:bottom w:val="single" w:sz="2" w:space="0" w:color="000000"/>
            </w:tcBorders>
            <w:shd w:color="auto" w:fill="auto" w:val="clear"/>
          </w:tcPr>
          <w:p>
            <w:pPr>
              <w:pStyle w:val="TableContents"/>
              <w:rPr/>
            </w:pPr>
            <w:r>
              <w:rPr/>
              <w:t>1.178</w:t>
            </w:r>
          </w:p>
        </w:tc>
        <w:tc>
          <w:tcPr>
            <w:tcW w:w="1126" w:type="dxa"/>
            <w:tcBorders>
              <w:left w:val="single" w:sz="2" w:space="0" w:color="000000"/>
              <w:bottom w:val="single" w:sz="2" w:space="0" w:color="000000"/>
            </w:tcBorders>
            <w:shd w:color="auto" w:fill="auto" w:val="clear"/>
          </w:tcPr>
          <w:p>
            <w:pPr>
              <w:pStyle w:val="TableContents"/>
              <w:rPr/>
            </w:pPr>
            <w:r>
              <w:rPr/>
              <w:t>1.548</w:t>
            </w:r>
          </w:p>
        </w:tc>
        <w:tc>
          <w:tcPr>
            <w:tcW w:w="1123" w:type="dxa"/>
            <w:tcBorders>
              <w:left w:val="single" w:sz="2" w:space="0" w:color="000000"/>
              <w:bottom w:val="single" w:sz="2" w:space="0" w:color="000000"/>
            </w:tcBorders>
            <w:shd w:color="auto" w:fill="auto" w:val="clear"/>
          </w:tcPr>
          <w:p>
            <w:pPr>
              <w:pStyle w:val="TableContents"/>
              <w:rPr/>
            </w:pPr>
            <w:r>
              <w:rPr/>
              <w:t>166</w:t>
            </w:r>
          </w:p>
        </w:tc>
        <w:tc>
          <w:tcPr>
            <w:tcW w:w="1125" w:type="dxa"/>
            <w:tcBorders>
              <w:left w:val="single" w:sz="2" w:space="0" w:color="000000"/>
              <w:bottom w:val="single" w:sz="2" w:space="0" w:color="000000"/>
            </w:tcBorders>
            <w:shd w:color="auto" w:fill="auto" w:val="clear"/>
          </w:tcPr>
          <w:p>
            <w:pPr>
              <w:pStyle w:val="TableContents"/>
              <w:rPr/>
            </w:pPr>
            <w:r>
              <w:rPr/>
              <w:t>155</w:t>
            </w:r>
          </w:p>
        </w:tc>
        <w:tc>
          <w:tcPr>
            <w:tcW w:w="1049" w:type="dxa"/>
            <w:tcBorders>
              <w:left w:val="single" w:sz="2" w:space="0" w:color="000000"/>
              <w:bottom w:val="single" w:sz="2" w:space="0" w:color="000000"/>
              <w:right w:val="single" w:sz="2" w:space="0" w:color="000000"/>
            </w:tcBorders>
            <w:shd w:color="auto" w:fill="auto" w:val="clear"/>
          </w:tcPr>
          <w:p>
            <w:pPr>
              <w:pStyle w:val="TableContents"/>
              <w:rPr/>
            </w:pPr>
            <w:r>
              <w:rPr/>
              <w:t>12</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rPr>
      </w:pPr>
      <w:r>
        <w:rPr>
          <w:b/>
          <w:bCs/>
        </w:rPr>
        <w:t>Социјално стање становништва</w:t>
      </w:r>
    </w:p>
    <w:p>
      <w:pPr>
        <w:pStyle w:val="Normal"/>
        <w:jc w:val="both"/>
        <w:rPr>
          <w:b/>
          <w:b/>
          <w:bCs/>
        </w:rPr>
      </w:pPr>
      <w:r>
        <w:rPr>
          <w:b/>
          <w:bCs/>
        </w:rPr>
      </w:r>
    </w:p>
    <w:p>
      <w:pPr>
        <w:pStyle w:val="Normal"/>
        <w:jc w:val="both"/>
        <w:rPr/>
      </w:pPr>
      <w:r>
        <w:rPr/>
        <w:tab/>
        <w:t>Социјална укљученост често је повезана са сиромаштвом. У последњих десет година се број корисника различитих врста социјалне помоћи одржавао на приближно истом нивоу.</w:t>
      </w:r>
    </w:p>
    <w:p>
      <w:pPr>
        <w:pStyle w:val="Normal"/>
        <w:jc w:val="both"/>
        <w:rPr/>
      </w:pPr>
      <w:r>
        <w:rPr/>
        <w:tab/>
        <w:t>Према подацима Центра за социајлни рад за општине Варварин и Ћићевац са седиштем у Ћићевцу, током 2021. године преко Центра за социјални било је укупно    корисника услуга.</w:t>
      </w:r>
    </w:p>
    <w:p>
      <w:pPr>
        <w:pStyle w:val="Normal"/>
        <w:jc w:val="both"/>
        <w:rPr/>
      </w:pPr>
      <w:r>
        <w:rPr/>
        <w:tab/>
        <w:t>Према подацима Центра за социјални рад за општине Варварин и Ћићевац са седиштем у Ћићевцу, током 2021. године материјална подршка пружена је за 452  лица, што је 23 лица више него у претходној години. Смањен је број корисника додатка за негу и помоћ другог лица, као и број деце под старатељском заштитом. Оно што је позитивно да се повећао за 4 број корисника за новорођенчад  у 2021. години.</w:t>
      </w:r>
    </w:p>
    <w:p>
      <w:pPr>
        <w:pStyle w:val="Normal"/>
        <w:jc w:val="both"/>
        <w:rPr/>
      </w:pPr>
      <w:r>
        <w:rPr/>
      </w:r>
    </w:p>
    <w:p>
      <w:pPr>
        <w:pStyle w:val="Normal"/>
        <w:jc w:val="both"/>
        <w:rPr>
          <w:b/>
          <w:b/>
          <w:bCs/>
        </w:rPr>
      </w:pPr>
      <w:r>
        <w:rPr>
          <w:b/>
          <w:bCs/>
        </w:rPr>
        <w:t>Табела 4 – Индикатори социјалне заштите за општину Ћићевац</w:t>
      </w:r>
    </w:p>
    <w:p>
      <w:pPr>
        <w:pStyle w:val="Normal"/>
        <w:jc w:val="both"/>
        <w:rPr/>
      </w:pPr>
      <w:r>
        <w:rPr/>
      </w:r>
    </w:p>
    <w:tbl>
      <w:tblPr>
        <w:tblW w:w="9638" w:type="dxa"/>
        <w:jc w:val="left"/>
        <w:tblInd w:w="0" w:type="dxa"/>
        <w:tblCellMar>
          <w:top w:w="55" w:type="dxa"/>
          <w:left w:w="55" w:type="dxa"/>
          <w:bottom w:w="55" w:type="dxa"/>
          <w:right w:w="55" w:type="dxa"/>
        </w:tblCellMar>
        <w:tblLook w:firstRow="1" w:noVBand="1" w:lastRow="0" w:firstColumn="1" w:lastColumn="0" w:noHBand="0" w:val="04a0"/>
      </w:tblPr>
      <w:tblGrid>
        <w:gridCol w:w="3212"/>
        <w:gridCol w:w="3197"/>
        <w:gridCol w:w="3229"/>
      </w:tblGrid>
      <w:tr>
        <w:trPr/>
        <w:tc>
          <w:tcPr>
            <w:tcW w:w="3212" w:type="dxa"/>
            <w:tcBorders>
              <w:top w:val="single" w:sz="2" w:space="0" w:color="000000"/>
              <w:left w:val="single" w:sz="2" w:space="0" w:color="000000"/>
              <w:bottom w:val="single" w:sz="2" w:space="0" w:color="000000"/>
            </w:tcBorders>
            <w:shd w:color="auto" w:fill="auto" w:val="clear"/>
          </w:tcPr>
          <w:p>
            <w:pPr>
              <w:pStyle w:val="TableContents"/>
              <w:rPr/>
            </w:pPr>
            <w:r>
              <w:rPr/>
            </w:r>
          </w:p>
        </w:tc>
        <w:tc>
          <w:tcPr>
            <w:tcW w:w="3197" w:type="dxa"/>
            <w:tcBorders>
              <w:top w:val="single" w:sz="2" w:space="0" w:color="000000"/>
              <w:left w:val="single" w:sz="2" w:space="0" w:color="000000"/>
              <w:bottom w:val="single" w:sz="2" w:space="0" w:color="000000"/>
            </w:tcBorders>
            <w:shd w:color="auto" w:fill="auto" w:val="clear"/>
          </w:tcPr>
          <w:p>
            <w:pPr>
              <w:pStyle w:val="TableContents"/>
              <w:rPr/>
            </w:pPr>
            <w:r>
              <w:rPr/>
              <w:t>2020</w:t>
            </w:r>
          </w:p>
        </w:tc>
        <w:tc>
          <w:tcPr>
            <w:tcW w:w="322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rPr/>
            </w:pPr>
            <w:r>
              <w:rPr/>
              <w:t>2021</w:t>
            </w:r>
          </w:p>
        </w:tc>
      </w:tr>
      <w:tr>
        <w:trPr/>
        <w:tc>
          <w:tcPr>
            <w:tcW w:w="3212" w:type="dxa"/>
            <w:tcBorders>
              <w:left w:val="single" w:sz="2" w:space="0" w:color="000000"/>
              <w:bottom w:val="single" w:sz="2" w:space="0" w:color="000000"/>
            </w:tcBorders>
            <w:shd w:color="auto" w:fill="auto" w:val="clear"/>
          </w:tcPr>
          <w:p>
            <w:pPr>
              <w:pStyle w:val="TableContents"/>
              <w:rPr/>
            </w:pPr>
            <w:r>
              <w:rPr/>
              <w:t>Број корисника материјалне подршке</w:t>
            </w:r>
          </w:p>
        </w:tc>
        <w:tc>
          <w:tcPr>
            <w:tcW w:w="3197" w:type="dxa"/>
            <w:tcBorders>
              <w:left w:val="single" w:sz="2" w:space="0" w:color="000000"/>
              <w:bottom w:val="single" w:sz="2" w:space="0" w:color="000000"/>
            </w:tcBorders>
            <w:shd w:color="auto" w:fill="auto" w:val="clear"/>
          </w:tcPr>
          <w:p>
            <w:pPr>
              <w:pStyle w:val="TableContents"/>
              <w:rPr/>
            </w:pPr>
            <w:r>
              <w:rPr/>
              <w:t>429</w:t>
            </w:r>
          </w:p>
        </w:tc>
        <w:tc>
          <w:tcPr>
            <w:tcW w:w="3229" w:type="dxa"/>
            <w:tcBorders>
              <w:left w:val="single" w:sz="2" w:space="0" w:color="000000"/>
              <w:bottom w:val="single" w:sz="2" w:space="0" w:color="000000"/>
              <w:right w:val="single" w:sz="2" w:space="0" w:color="000000"/>
            </w:tcBorders>
            <w:shd w:color="auto" w:fill="auto" w:val="clear"/>
          </w:tcPr>
          <w:p>
            <w:pPr>
              <w:pStyle w:val="TableContents"/>
              <w:rPr>
                <w:lang w:val="sr-Latn-RS"/>
              </w:rPr>
            </w:pPr>
            <w:r>
              <w:rPr>
                <w:lang w:val="sr-Latn-RS"/>
              </w:rPr>
              <w:t>452</w:t>
            </w:r>
          </w:p>
        </w:tc>
      </w:tr>
      <w:tr>
        <w:trPr/>
        <w:tc>
          <w:tcPr>
            <w:tcW w:w="3212" w:type="dxa"/>
            <w:tcBorders>
              <w:left w:val="single" w:sz="2" w:space="0" w:color="000000"/>
              <w:bottom w:val="single" w:sz="2" w:space="0" w:color="000000"/>
            </w:tcBorders>
            <w:shd w:color="auto" w:fill="auto" w:val="clear"/>
          </w:tcPr>
          <w:p>
            <w:pPr>
              <w:pStyle w:val="TableContents"/>
              <w:rPr/>
            </w:pPr>
            <w:r>
              <w:rPr/>
              <w:t>Број корисника додатка за негу и помоћ другог лица</w:t>
            </w:r>
          </w:p>
        </w:tc>
        <w:tc>
          <w:tcPr>
            <w:tcW w:w="3197" w:type="dxa"/>
            <w:tcBorders>
              <w:left w:val="single" w:sz="2" w:space="0" w:color="000000"/>
              <w:bottom w:val="single" w:sz="2" w:space="0" w:color="000000"/>
            </w:tcBorders>
            <w:shd w:color="auto" w:fill="auto" w:val="clear"/>
          </w:tcPr>
          <w:p>
            <w:pPr>
              <w:pStyle w:val="TableContents"/>
              <w:rPr/>
            </w:pPr>
            <w:r>
              <w:rPr/>
              <w:t>67</w:t>
            </w:r>
          </w:p>
        </w:tc>
        <w:tc>
          <w:tcPr>
            <w:tcW w:w="3229" w:type="dxa"/>
            <w:tcBorders>
              <w:left w:val="single" w:sz="2" w:space="0" w:color="000000"/>
              <w:bottom w:val="single" w:sz="2" w:space="0" w:color="000000"/>
              <w:right w:val="single" w:sz="2" w:space="0" w:color="000000"/>
            </w:tcBorders>
            <w:shd w:color="auto" w:fill="auto" w:val="clear"/>
          </w:tcPr>
          <w:p>
            <w:pPr>
              <w:pStyle w:val="TableContents"/>
              <w:rPr>
                <w:lang w:val="sr-Latn-RS"/>
              </w:rPr>
            </w:pPr>
            <w:r>
              <w:rPr>
                <w:lang w:val="sr-Latn-RS"/>
              </w:rPr>
              <w:t>58</w:t>
            </w:r>
          </w:p>
        </w:tc>
      </w:tr>
      <w:tr>
        <w:trPr/>
        <w:tc>
          <w:tcPr>
            <w:tcW w:w="3212" w:type="dxa"/>
            <w:tcBorders>
              <w:left w:val="single" w:sz="2" w:space="0" w:color="000000"/>
              <w:bottom w:val="single" w:sz="2" w:space="0" w:color="000000"/>
            </w:tcBorders>
            <w:shd w:color="auto" w:fill="auto" w:val="clear"/>
          </w:tcPr>
          <w:p>
            <w:pPr>
              <w:pStyle w:val="TableContents"/>
              <w:rPr/>
            </w:pPr>
            <w:r>
              <w:rPr/>
              <w:t>Број корисника накнаде за новорођенчад</w:t>
            </w:r>
          </w:p>
        </w:tc>
        <w:tc>
          <w:tcPr>
            <w:tcW w:w="3197" w:type="dxa"/>
            <w:tcBorders>
              <w:left w:val="single" w:sz="2" w:space="0" w:color="000000"/>
              <w:bottom w:val="single" w:sz="2" w:space="0" w:color="000000"/>
            </w:tcBorders>
            <w:shd w:color="auto" w:fill="auto" w:val="clear"/>
          </w:tcPr>
          <w:p>
            <w:pPr>
              <w:pStyle w:val="TableContents"/>
              <w:rPr/>
            </w:pPr>
            <w:r>
              <w:rPr/>
              <w:t>48</w:t>
            </w:r>
          </w:p>
        </w:tc>
        <w:tc>
          <w:tcPr>
            <w:tcW w:w="3229" w:type="dxa"/>
            <w:tcBorders>
              <w:left w:val="single" w:sz="2" w:space="0" w:color="000000"/>
              <w:bottom w:val="single" w:sz="2" w:space="0" w:color="000000"/>
              <w:right w:val="single" w:sz="2" w:space="0" w:color="000000"/>
            </w:tcBorders>
            <w:shd w:color="auto" w:fill="auto" w:val="clear"/>
          </w:tcPr>
          <w:p>
            <w:pPr>
              <w:pStyle w:val="TableContents"/>
              <w:rPr>
                <w:lang w:val="sr-Latn-RS"/>
              </w:rPr>
            </w:pPr>
            <w:r>
              <w:rPr>
                <w:lang w:val="sr-Latn-RS"/>
              </w:rPr>
              <w:t>52</w:t>
            </w:r>
          </w:p>
        </w:tc>
      </w:tr>
      <w:tr>
        <w:trPr/>
        <w:tc>
          <w:tcPr>
            <w:tcW w:w="3212" w:type="dxa"/>
            <w:tcBorders>
              <w:left w:val="single" w:sz="2" w:space="0" w:color="000000"/>
              <w:bottom w:val="single" w:sz="2" w:space="0" w:color="000000"/>
            </w:tcBorders>
            <w:shd w:color="auto" w:fill="auto" w:val="clear"/>
          </w:tcPr>
          <w:p>
            <w:pPr>
              <w:pStyle w:val="TableContents"/>
              <w:rPr/>
            </w:pPr>
            <w:r>
              <w:rPr/>
              <w:t>Броје деце под старатељском заштитом</w:t>
            </w:r>
          </w:p>
        </w:tc>
        <w:tc>
          <w:tcPr>
            <w:tcW w:w="3197" w:type="dxa"/>
            <w:tcBorders>
              <w:left w:val="single" w:sz="2" w:space="0" w:color="000000"/>
              <w:bottom w:val="single" w:sz="2" w:space="0" w:color="000000"/>
            </w:tcBorders>
            <w:shd w:color="auto" w:fill="auto" w:val="clear"/>
          </w:tcPr>
          <w:p>
            <w:pPr>
              <w:pStyle w:val="TableContents"/>
              <w:rPr>
                <w:lang w:val="sr-Latn-RS"/>
              </w:rPr>
            </w:pPr>
            <w:r>
              <w:rPr>
                <w:lang w:val="sr-Latn-RS"/>
              </w:rPr>
              <w:t>23</w:t>
            </w:r>
          </w:p>
        </w:tc>
        <w:tc>
          <w:tcPr>
            <w:tcW w:w="3229" w:type="dxa"/>
            <w:tcBorders>
              <w:left w:val="single" w:sz="2" w:space="0" w:color="000000"/>
              <w:bottom w:val="single" w:sz="2" w:space="0" w:color="000000"/>
              <w:right w:val="single" w:sz="2" w:space="0" w:color="000000"/>
            </w:tcBorders>
            <w:shd w:color="auto" w:fill="auto" w:val="clear"/>
          </w:tcPr>
          <w:p>
            <w:pPr>
              <w:pStyle w:val="TableContents"/>
              <w:rPr>
                <w:lang w:val="sr-Latn-RS"/>
              </w:rPr>
            </w:pPr>
            <w:r>
              <w:rPr>
                <w:lang w:val="sr-Latn-RS"/>
              </w:rPr>
              <w:t>20</w:t>
            </w:r>
          </w:p>
        </w:tc>
      </w:tr>
      <w:tr>
        <w:trPr/>
        <w:tc>
          <w:tcPr>
            <w:tcW w:w="3212" w:type="dxa"/>
            <w:tcBorders>
              <w:left w:val="single" w:sz="2" w:space="0" w:color="000000"/>
              <w:bottom w:val="single" w:sz="2" w:space="0" w:color="000000"/>
            </w:tcBorders>
            <w:shd w:color="auto" w:fill="auto" w:val="clear"/>
          </w:tcPr>
          <w:p>
            <w:pPr>
              <w:pStyle w:val="TableContents"/>
              <w:rPr/>
            </w:pPr>
            <w:r>
              <w:rPr/>
              <w:t>Број корисника домова за смештај старих</w:t>
            </w:r>
          </w:p>
        </w:tc>
        <w:tc>
          <w:tcPr>
            <w:tcW w:w="3197" w:type="dxa"/>
            <w:tcBorders>
              <w:left w:val="single" w:sz="2" w:space="0" w:color="000000"/>
              <w:bottom w:val="single" w:sz="2" w:space="0" w:color="000000"/>
            </w:tcBorders>
            <w:shd w:color="auto" w:fill="auto" w:val="clear"/>
          </w:tcPr>
          <w:p>
            <w:pPr>
              <w:pStyle w:val="TableContents"/>
              <w:rPr/>
            </w:pPr>
            <w:r>
              <w:rPr/>
              <w:t>3</w:t>
            </w:r>
          </w:p>
        </w:tc>
        <w:tc>
          <w:tcPr>
            <w:tcW w:w="3229" w:type="dxa"/>
            <w:tcBorders>
              <w:left w:val="single" w:sz="2" w:space="0" w:color="000000"/>
              <w:bottom w:val="single" w:sz="2" w:space="0" w:color="000000"/>
              <w:right w:val="single" w:sz="2" w:space="0" w:color="000000"/>
            </w:tcBorders>
            <w:shd w:color="auto" w:fill="auto" w:val="clear"/>
          </w:tcPr>
          <w:p>
            <w:pPr>
              <w:pStyle w:val="TableContents"/>
              <w:rPr>
                <w:lang w:val="sr-Latn-RS"/>
              </w:rPr>
            </w:pPr>
            <w:r>
              <w:rPr>
                <w:lang w:val="sr-Latn-RS"/>
              </w:rPr>
              <w:t>3</w:t>
            </w:r>
          </w:p>
        </w:tc>
      </w:tr>
    </w:tbl>
    <w:p>
      <w:pPr>
        <w:pStyle w:val="Normal"/>
        <w:jc w:val="both"/>
        <w:rPr/>
      </w:pPr>
      <w:r>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Web"/>
        <w:spacing w:before="0" w:after="0"/>
        <w:ind w:firstLine="709"/>
        <w:jc w:val="both"/>
        <w:textAlignment w:val="baseline"/>
        <w:rPr>
          <w:sz w:val="14"/>
        </w:rPr>
      </w:pPr>
      <w:r>
        <w:rPr>
          <w:sz w:val="14"/>
        </w:rPr>
      </w:r>
    </w:p>
    <w:p>
      <w:pPr>
        <w:pStyle w:val="NormalWeb"/>
        <w:numPr>
          <w:ilvl w:val="1"/>
          <w:numId w:val="3"/>
        </w:numPr>
        <w:spacing w:lineRule="atLeast" w:line="360" w:before="0" w:after="0"/>
        <w:jc w:val="both"/>
        <w:textAlignment w:val="baseline"/>
        <w:rPr/>
      </w:pPr>
      <w:r>
        <w:rPr>
          <w:b/>
        </w:rPr>
        <w:t xml:space="preserve">Анализа социо-економског стања у ЈЛС </w:t>
      </w:r>
    </w:p>
    <w:p>
      <w:pPr>
        <w:pStyle w:val="Normal"/>
        <w:rPr>
          <w:sz w:val="10"/>
        </w:rPr>
      </w:pPr>
      <w:r>
        <w:rPr>
          <w:sz w:val="10"/>
        </w:rPr>
      </w:r>
    </w:p>
    <w:p>
      <w:pPr>
        <w:pStyle w:val="Normal"/>
        <w:ind w:firstLine="720"/>
        <w:jc w:val="both"/>
        <w:rPr/>
      </w:pPr>
      <w:r>
        <w:rPr/>
        <w:t xml:space="preserve">У последњих неколико година остварен привредни раст имао је позитиван утицај на кретања на тржишту рада. Међутим, проблеми у области запошљавања и даље постоје. </w:t>
      </w:r>
    </w:p>
    <w:p>
      <w:pPr>
        <w:pStyle w:val="Normal"/>
        <w:ind w:firstLine="720"/>
        <w:jc w:val="both"/>
        <w:rPr/>
      </w:pPr>
      <w:r>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pPr>
        <w:pStyle w:val="Normal"/>
        <w:ind w:firstLine="709"/>
        <w:jc w:val="both"/>
        <w:rPr/>
      </w:pPr>
      <w:r>
        <w:rPr/>
        <w:t>Данас, најзаступљеније</w:t>
      </w:r>
      <w:r>
        <w:rPr>
          <w:lang w:val="sr-Latn-CS"/>
        </w:rPr>
        <w:t xml:space="preserve"> </w:t>
      </w:r>
      <w:r>
        <w:rPr/>
        <w:t>привредне</w:t>
      </w:r>
      <w:r>
        <w:rPr>
          <w:lang w:val="sr-Latn-CS"/>
        </w:rPr>
        <w:t xml:space="preserve"> </w:t>
      </w:r>
      <w:r>
        <w:rPr/>
        <w:t>гране</w:t>
      </w:r>
      <w:r>
        <w:rPr>
          <w:lang w:val="sr-Latn-CS"/>
        </w:rPr>
        <w:t xml:space="preserve"> </w:t>
      </w:r>
      <w:r>
        <w:rPr/>
        <w:t>у</w:t>
      </w:r>
      <w:r>
        <w:rPr>
          <w:lang w:val="sr-Latn-CS"/>
        </w:rPr>
        <w:t xml:space="preserve"> </w:t>
      </w:r>
      <w:r>
        <w:rPr/>
        <w:t>општини</w:t>
      </w:r>
      <w:r>
        <w:rPr>
          <w:lang w:val="sr-Latn-CS"/>
        </w:rPr>
        <w:t xml:space="preserve"> </w:t>
      </w:r>
      <w:r>
        <w:rPr/>
        <w:t>Ћићевац</w:t>
      </w:r>
      <w:r>
        <w:rPr>
          <w:lang w:val="sr-Latn-CS"/>
        </w:rPr>
        <w:t xml:space="preserve"> </w:t>
      </w:r>
      <w:r>
        <w:rPr/>
        <w:t>су</w:t>
      </w:r>
      <w:r>
        <w:rPr>
          <w:lang w:val="sr-Latn-CS"/>
        </w:rPr>
        <w:t xml:space="preserve">: </w:t>
      </w:r>
      <w:r>
        <w:rPr/>
        <w:t>дрвно-прерађивачка</w:t>
      </w:r>
      <w:r>
        <w:rPr>
          <w:lang w:val="sr-Latn-CS"/>
        </w:rPr>
        <w:t xml:space="preserve"> </w:t>
      </w:r>
      <w:r>
        <w:rPr/>
        <w:t>индустрија</w:t>
      </w:r>
      <w:r>
        <w:rPr>
          <w:lang w:val="sr-Latn-CS"/>
        </w:rPr>
        <w:t xml:space="preserve">, </w:t>
      </w:r>
      <w:r>
        <w:rPr/>
        <w:t>индустрија</w:t>
      </w:r>
      <w:r>
        <w:rPr>
          <w:lang w:val="sr-Latn-CS"/>
        </w:rPr>
        <w:t xml:space="preserve"> </w:t>
      </w:r>
      <w:r>
        <w:rPr/>
        <w:t>грађевинског</w:t>
      </w:r>
      <w:r>
        <w:rPr>
          <w:lang w:val="sr-Latn-CS"/>
        </w:rPr>
        <w:t xml:space="preserve"> </w:t>
      </w:r>
      <w:r>
        <w:rPr/>
        <w:t>материјала</w:t>
      </w:r>
      <w:r>
        <w:rPr>
          <w:lang w:val="sr-Latn-CS"/>
        </w:rPr>
        <w:t xml:space="preserve">, </w:t>
      </w:r>
      <w:r>
        <w:rPr/>
        <w:t>трговина</w:t>
      </w:r>
      <w:r>
        <w:rPr>
          <w:lang w:val="sr-Latn-CS"/>
        </w:rPr>
        <w:t xml:space="preserve">, </w:t>
      </w:r>
      <w:r>
        <w:rPr/>
        <w:t>угоститељство</w:t>
      </w:r>
      <w:r>
        <w:rPr>
          <w:lang w:val="sr-Latn-CS"/>
        </w:rPr>
        <w:t xml:space="preserve">, </w:t>
      </w:r>
      <w:r>
        <w:rPr/>
        <w:t>пољопривреда</w:t>
      </w:r>
      <w:r>
        <w:rPr>
          <w:lang w:val="sr-Latn-CS"/>
        </w:rPr>
        <w:t xml:space="preserve"> </w:t>
      </w:r>
      <w:r>
        <w:rPr/>
        <w:t>и</w:t>
      </w:r>
      <w:r>
        <w:rPr>
          <w:lang w:val="sr-Latn-CS"/>
        </w:rPr>
        <w:t xml:space="preserve"> </w:t>
      </w:r>
      <w:r>
        <w:rPr/>
        <w:t>саобраћај</w:t>
      </w:r>
      <w:r>
        <w:rPr>
          <w:lang w:val="sr-Latn-CS"/>
        </w:rPr>
        <w:t xml:space="preserve">. </w:t>
      </w:r>
      <w:r>
        <w:rPr/>
        <w:t>На територији општине је регистровано је укупно 463 правних и физичких лица. Према подацима Републичког завода за статистику 2 се налазе у поступку стечаја и 6 у поступку ликвидације. Укупан број запослених је 2.325 лица, од тога 1.900 у привреди и 425 предузетника и оних који су запослених код њих.</w:t>
      </w:r>
    </w:p>
    <w:p>
      <w:pPr>
        <w:pStyle w:val="Normal"/>
        <w:tabs>
          <w:tab w:val="clear" w:pos="709"/>
          <w:tab w:val="left" w:pos="369" w:leader="none"/>
        </w:tabs>
        <w:jc w:val="both"/>
        <w:rPr/>
      </w:pPr>
      <w:r>
        <w:rPr>
          <w:lang w:val="ru-RU"/>
        </w:rPr>
        <w:tab/>
        <w:tab/>
        <w:t>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w:t>
      </w:r>
      <w:r>
        <w:rPr/>
        <w:t xml:space="preserve"> будући Моравски коридор Појате- Прељина,</w:t>
      </w:r>
      <w:r>
        <w:rPr>
          <w:lang w:val="ru-RU"/>
        </w:rPr>
        <w:t xml:space="preserve"> регионални пут према Крагујевцу, затим  железничк</w:t>
      </w:r>
      <w:r>
        <w:rPr/>
        <w:t>а</w:t>
      </w:r>
      <w:r>
        <w:rPr>
          <w:lang w:val="ru-RU"/>
        </w:rPr>
        <w:t xml:space="preserve"> пруге</w:t>
      </w:r>
      <w:r>
        <w:rPr/>
        <w:t>а</w:t>
      </w:r>
      <w:r>
        <w:rPr>
          <w:lang w:val="ru-RU"/>
        </w:rPr>
        <w:t xml:space="preserve"> Београд –Ниш.</w:t>
      </w:r>
      <w:r>
        <w:rPr/>
        <w:t xml:space="preserve"> У наредном периоду очекује се изградња брзе пруге Београд – Ниш, која ће имати велики значај за нашу општину.</w:t>
      </w:r>
    </w:p>
    <w:p>
      <w:pPr>
        <w:pStyle w:val="Normal"/>
        <w:tabs>
          <w:tab w:val="clear" w:pos="709"/>
          <w:tab w:val="left" w:pos="369" w:leader="none"/>
        </w:tabs>
        <w:jc w:val="both"/>
        <w:rPr/>
      </w:pPr>
      <w:r>
        <w:rPr>
          <w:lang w:val="ru-RU"/>
        </w:rPr>
        <w:tab/>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w:t>
      </w:r>
      <w:r>
        <w:rPr/>
        <w:t>,</w:t>
      </w:r>
      <w:r>
        <w:rPr>
          <w:lang w:val="ru-RU"/>
        </w:rPr>
        <w:t xml:space="preserve"> није комплетно опремљена инфраструктуром. Изградња водоводне, канализационе и гасне мреже у овим зонама очекује се у наредном периоду.</w:t>
      </w:r>
    </w:p>
    <w:p>
      <w:pPr>
        <w:pStyle w:val="Normal"/>
        <w:ind w:firstLine="708"/>
        <w:jc w:val="both"/>
        <w:rPr/>
      </w:pPr>
      <w:r>
        <w:rPr/>
        <w:t xml:space="preserve">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w:t>
      </w:r>
      <w:r>
        <w:rPr>
          <w:color w:val="000000"/>
        </w:rPr>
        <w:t>технологија у производњи је на ниском нивоу.</w:t>
      </w:r>
    </w:p>
    <w:p>
      <w:pPr>
        <w:pStyle w:val="Normal"/>
        <w:ind w:firstLine="708"/>
        <w:jc w:val="both"/>
        <w:rPr/>
      </w:pPr>
      <w:r>
        <w:rPr>
          <w:color w:val="000000"/>
        </w:rPr>
        <w:t xml:space="preserve">Општина Ћићевац је у постпуку израде Плана развоја општине Ћићевац који се бави кључним питањима која су у друштвено-економској анализи идентификована као „корен“ или „узрочник“ проблема, и која ће се решавати у дугорочној перспективи кроз различите интервениције. </w:t>
      </w:r>
    </w:p>
    <w:p>
      <w:pPr>
        <w:pStyle w:val="Normal"/>
        <w:ind w:firstLine="708"/>
        <w:jc w:val="both"/>
        <w:rPr/>
      </w:pPr>
      <w:r>
        <w:rPr>
          <w:color w:val="000000"/>
        </w:rPr>
        <w:t>Општина Ћићевац се налази у такозваној трећој групи по степену развијености у Републици Србији чији је степен развијености у распону од 60% до 80% републичког просека. Са својих нешто мање од 10.000 становника по последњем попису и површином од 124 км2 спада у најмање локалне самоуправе у Републици Србији. Притом, значајна депопулација између два пописа и висока стопа незапослености представљају додатне проблеме али и изазове за локалну заједницу.</w:t>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numPr>
          <w:ilvl w:val="0"/>
          <w:numId w:val="3"/>
        </w:numPr>
        <w:jc w:val="center"/>
        <w:rPr>
          <w:b/>
          <w:b/>
        </w:rPr>
      </w:pPr>
      <w:r>
        <w:rPr>
          <w:b/>
        </w:rPr>
        <w:t xml:space="preserve">   </w:t>
      </w:r>
      <w:r>
        <w:rPr>
          <w:b/>
        </w:rPr>
        <w:t>АНАЛИЗА СТАЊА НА ТРЖИШТУ РАДА И КАТЕГОРИЈЕ ТЕЖЕ ЗАПОШЉИВИХ ЛИЦА</w:t>
      </w:r>
    </w:p>
    <w:p>
      <w:pPr>
        <w:pStyle w:val="Normal"/>
        <w:rPr>
          <w:sz w:val="14"/>
        </w:rPr>
      </w:pPr>
      <w:r>
        <w:rPr>
          <w:sz w:val="14"/>
        </w:rPr>
      </w:r>
    </w:p>
    <w:p>
      <w:pPr>
        <w:pStyle w:val="Normal"/>
        <w:numPr>
          <w:ilvl w:val="1"/>
          <w:numId w:val="3"/>
        </w:numPr>
        <w:rPr>
          <w:b/>
          <w:b/>
        </w:rPr>
      </w:pPr>
      <w:r>
        <w:rPr>
          <w:b/>
        </w:rPr>
        <w:t>Анализа стања на тржишту рада</w:t>
      </w:r>
    </w:p>
    <w:p>
      <w:pPr>
        <w:pStyle w:val="Normal"/>
        <w:rPr/>
      </w:pPr>
      <w:r>
        <w:rPr/>
      </w:r>
    </w:p>
    <w:p>
      <w:pPr>
        <w:pStyle w:val="Normal"/>
        <w:ind w:firstLine="567"/>
        <w:rPr/>
      </w:pPr>
      <w:r>
        <w:rPr>
          <w:b/>
          <w:bCs/>
        </w:rPr>
        <w:t>На евиденцији НСЗ у Ћићевцу, закључно са децембром 2021. године, има 712 лица, од тога 431 жене.</w:t>
      </w:r>
    </w:p>
    <w:p>
      <w:pPr>
        <w:pStyle w:val="Normal"/>
        <w:widowControl/>
        <w:suppressAutoHyphens w:val="false"/>
        <w:ind w:firstLine="567"/>
        <w:jc w:val="both"/>
        <w:rPr/>
      </w:pPr>
      <w:r>
        <w:rPr>
          <w:rFonts w:eastAsia="Calibri"/>
          <w:b/>
          <w:i/>
          <w:kern w:val="0"/>
          <w:lang w:val="sr-Latn-CS"/>
        </w:rPr>
        <w:t>Незапослено лице</w:t>
      </w:r>
      <w:r>
        <w:rPr>
          <w:rFonts w:eastAsia="Calibri"/>
          <w:kern w:val="0"/>
        </w:rPr>
        <w:t xml:space="preserve"> </w:t>
      </w:r>
      <w:r>
        <w:rPr>
          <w:rFonts w:eastAsia="Calibri"/>
          <w:kern w:val="0"/>
          <w:lang w:val="sr-Latn-CS"/>
        </w:rPr>
        <w:t xml:space="preserve">је лице од </w:t>
      </w:r>
      <w:r>
        <w:rPr>
          <w:rFonts w:eastAsia="Calibri"/>
          <w:kern w:val="0"/>
        </w:rPr>
        <w:t xml:space="preserve"> 15 </w:t>
      </w:r>
      <w:r>
        <w:rPr>
          <w:rFonts w:eastAsia="Calibri"/>
          <w:kern w:val="0"/>
          <w:lang w:val="sr-Latn-CS"/>
        </w:rPr>
        <w:t>до</w:t>
      </w:r>
      <w:r>
        <w:rPr>
          <w:rFonts w:eastAsia="Calibri"/>
          <w:kern w:val="0"/>
        </w:rPr>
        <w:t xml:space="preserve"> 65</w:t>
      </w:r>
      <w:r>
        <w:rPr>
          <w:rFonts w:eastAsia="Calibri"/>
          <w:kern w:val="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Pr>
          <w:rFonts w:eastAsia="Calibri"/>
          <w:kern w:val="0"/>
        </w:rPr>
        <w:t xml:space="preserve"> - Закон о запошљавању и осигурању у случају незапослености </w:t>
      </w:r>
      <w:r>
        <w:rPr/>
        <w:t>(„Службени гласник РС”, бр. 36/09, 88/10, 38/15, 113/17 и 113/17 – др. закон и 49/21)</w:t>
      </w:r>
    </w:p>
    <w:p>
      <w:pPr>
        <w:pStyle w:val="Normal"/>
        <w:widowControl/>
        <w:suppressAutoHyphens w:val="false"/>
        <w:ind w:firstLine="567"/>
        <w:jc w:val="both"/>
        <w:rPr/>
      </w:pPr>
      <w:r>
        <w:rPr>
          <w:rFonts w:eastAsia="Calibri"/>
          <w:b/>
          <w:i/>
          <w:kern w:val="0"/>
        </w:rPr>
        <w:t>Лице које тражи запослење</w:t>
      </w:r>
      <w:r>
        <w:rPr>
          <w:rFonts w:eastAsia="Calibri"/>
          <w:b/>
          <w:i/>
          <w:kern w:val="0"/>
          <w:lang w:val="sr-Latn-CS"/>
        </w:rPr>
        <w:t xml:space="preserve"> </w:t>
      </w:r>
      <w:r>
        <w:rPr>
          <w:rFonts w:eastAsia="Calibri"/>
          <w:kern w:val="0"/>
        </w:rPr>
        <w:t>је</w:t>
      </w:r>
      <w:r>
        <w:rPr>
          <w:rFonts w:eastAsia="Calibri"/>
          <w:b/>
          <w:i/>
          <w:kern w:val="0"/>
          <w:lang w:val="sr-Latn-CS"/>
        </w:rPr>
        <w:t xml:space="preserve"> </w:t>
      </w:r>
      <w:r>
        <w:rPr>
          <w:rFonts w:eastAsia="Calibri"/>
          <w:kern w:val="0"/>
          <w:lang w:val="sr-Latn-CS"/>
        </w:rPr>
        <w:t xml:space="preserve"> незапослен</w:t>
      </w:r>
      <w:r>
        <w:rPr>
          <w:rFonts w:eastAsia="Calibri"/>
          <w:kern w:val="0"/>
        </w:rPr>
        <w:t>о</w:t>
      </w:r>
      <w:r>
        <w:rPr>
          <w:rFonts w:eastAsia="Calibri"/>
          <w:kern w:val="0"/>
          <w:lang w:val="sr-Latn-CS"/>
        </w:rPr>
        <w:t xml:space="preserve"> лиц</w:t>
      </w:r>
      <w:r>
        <w:rPr>
          <w:rFonts w:eastAsia="Calibri"/>
          <w:kern w:val="0"/>
        </w:rPr>
        <w:t>е</w:t>
      </w:r>
      <w:r>
        <w:rPr>
          <w:rFonts w:eastAsia="Calibri"/>
          <w:kern w:val="0"/>
          <w:lang w:val="sr-Latn-CS"/>
        </w:rPr>
        <w:t xml:space="preserve"> или запослен</w:t>
      </w:r>
      <w:r>
        <w:rPr>
          <w:rFonts w:eastAsia="Calibri"/>
          <w:kern w:val="0"/>
        </w:rPr>
        <w:t>о</w:t>
      </w:r>
      <w:r>
        <w:rPr>
          <w:rFonts w:eastAsia="Calibri"/>
          <w:kern w:val="0"/>
          <w:lang w:val="sr-Latn-CS"/>
        </w:rPr>
        <w:t xml:space="preserve"> кој</w:t>
      </w:r>
      <w:r>
        <w:rPr>
          <w:rFonts w:eastAsia="Calibri"/>
          <w:kern w:val="0"/>
        </w:rPr>
        <w:t>е</w:t>
      </w:r>
      <w:r>
        <w:rPr>
          <w:rFonts w:eastAsia="Calibri"/>
          <w:kern w:val="0"/>
          <w:lang w:val="sr-Latn-CS"/>
        </w:rPr>
        <w:t xml:space="preserve"> траж</w:t>
      </w:r>
      <w:r>
        <w:rPr>
          <w:rFonts w:eastAsia="Calibri"/>
          <w:kern w:val="0"/>
        </w:rPr>
        <w:t>и</w:t>
      </w:r>
      <w:r>
        <w:rPr>
          <w:rFonts w:eastAsia="Calibri"/>
          <w:kern w:val="0"/>
          <w:lang w:val="sr-Latn-CS"/>
        </w:rPr>
        <w:t xml:space="preserve"> промену запослења</w:t>
      </w:r>
      <w:r>
        <w:rPr>
          <w:rFonts w:eastAsia="Calibri"/>
          <w:kern w:val="0"/>
        </w:rPr>
        <w:t xml:space="preserve"> - Закон о запошљавању и осигурању у случају незапослености </w:t>
      </w:r>
      <w:r>
        <w:rPr/>
        <w:t>(„Службени гласник РС”, бр. 36/09, 88/10, 38/15, 113/17 и 113/17 – др. закон и 49/21).</w:t>
      </w:r>
    </w:p>
    <w:p>
      <w:pPr>
        <w:pStyle w:val="Normal"/>
        <w:widowControl/>
        <w:tabs>
          <w:tab w:val="clear" w:pos="709"/>
          <w:tab w:val="left" w:pos="-360" w:leader="none"/>
        </w:tabs>
        <w:suppressAutoHyphens w:val="false"/>
        <w:ind w:left="-360" w:hanging="360"/>
        <w:jc w:val="both"/>
        <w:rPr/>
      </w:pPr>
      <w:r>
        <w:rPr/>
      </w:r>
    </w:p>
    <w:p>
      <w:pPr>
        <w:pStyle w:val="Normal"/>
        <w:rPr/>
      </w:pPr>
      <w:r>
        <w:rPr>
          <w:b/>
          <w:bCs/>
        </w:rPr>
        <w:t>3.2. Кретање незапослености</w:t>
      </w:r>
    </w:p>
    <w:p>
      <w:pPr>
        <w:pStyle w:val="Normal"/>
        <w:rPr>
          <w:sz w:val="14"/>
        </w:rPr>
      </w:pPr>
      <w:r>
        <w:rPr>
          <w:sz w:val="14"/>
        </w:rPr>
      </w:r>
    </w:p>
    <w:p>
      <w:pPr>
        <w:pStyle w:val="Normal"/>
        <w:ind w:firstLine="720"/>
        <w:jc w:val="both"/>
        <w:rPr/>
      </w:pPr>
      <w:r>
        <w:rPr/>
        <w:t xml:space="preserve">Карактеристике тржишта рада остају непромењене у смислу високе незапослености и ниске мобилности радне снаге. </w:t>
      </w:r>
    </w:p>
    <w:p>
      <w:pPr>
        <w:pStyle w:val="Normal"/>
        <w:ind w:firstLine="720"/>
        <w:jc w:val="both"/>
        <w:rPr/>
      </w:pPr>
      <w:r>
        <w:rPr/>
        <w:t xml:space="preserve">Опште карактеристике тржишта рада у 2021. године остају непромењене у односу на претходни период: </w:t>
      </w:r>
      <w:r>
        <w:rPr>
          <w:lang w:val="ru-RU"/>
        </w:rPr>
        <w:t>неусаглашеност понуде и потражње радне снаге, велико учешће дугорочно незапослених</w:t>
      </w:r>
      <w:r>
        <w:rPr/>
        <w:t xml:space="preserve">, </w:t>
      </w:r>
      <w:r>
        <w:rPr>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Pr>
          <w:lang w:val="sr-Latn-CS"/>
        </w:rPr>
        <w:t>.</w:t>
      </w:r>
    </w:p>
    <w:p>
      <w:pPr>
        <w:pStyle w:val="Normal"/>
        <w:rPr>
          <w:sz w:val="14"/>
        </w:rPr>
      </w:pPr>
      <w:r>
        <w:rPr>
          <w:sz w:val="14"/>
        </w:rPr>
      </w:r>
    </w:p>
    <w:p>
      <w:pPr>
        <w:pStyle w:val="Normal"/>
        <w:spacing w:lineRule="exact" w:line="300"/>
        <w:ind w:left="1080" w:hanging="0"/>
        <w:rPr>
          <w:b/>
          <w:b/>
        </w:rPr>
      </w:pPr>
      <w:r>
        <w:rPr>
          <w:b/>
        </w:rPr>
        <w:t>Кретање незапослености</w:t>
      </w:r>
    </w:p>
    <w:p>
      <w:pPr>
        <w:pStyle w:val="Normal"/>
        <w:spacing w:lineRule="exact" w:line="300"/>
        <w:jc w:val="center"/>
        <w:rPr/>
      </w:pPr>
      <w:r>
        <w:rPr>
          <w:b/>
          <w:i/>
        </w:rPr>
        <w:t>Структура незапослених према полу, децембар 2021.</w:t>
      </w:r>
    </w:p>
    <w:tbl>
      <w:tblPr>
        <w:tblW w:w="8206" w:type="dxa"/>
        <w:jc w:val="center"/>
        <w:tblInd w:w="0" w:type="dxa"/>
        <w:tblCellMar>
          <w:top w:w="0" w:type="dxa"/>
          <w:left w:w="108" w:type="dxa"/>
          <w:bottom w:w="0" w:type="dxa"/>
          <w:right w:w="108" w:type="dxa"/>
        </w:tblCellMar>
        <w:tblLook w:firstRow="1" w:noVBand="1" w:lastRow="0" w:firstColumn="1" w:lastColumn="0" w:noHBand="0" w:val="04a0"/>
      </w:tblPr>
      <w:tblGrid>
        <w:gridCol w:w="3078"/>
        <w:gridCol w:w="1560"/>
        <w:gridCol w:w="1555"/>
        <w:gridCol w:w="4"/>
        <w:gridCol w:w="2008"/>
      </w:tblGrid>
      <w:tr>
        <w:trPr>
          <w:trHeight w:val="828" w:hRule="atLeast"/>
        </w:trPr>
        <w:tc>
          <w:tcPr>
            <w:tcW w:w="463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rPr>
                <w:sz w:val="22"/>
                <w:szCs w:val="22"/>
              </w:rPr>
            </w:pPr>
            <w:r>
              <w:rPr>
                <w:sz w:val="22"/>
                <w:szCs w:val="22"/>
              </w:rPr>
            </w:r>
          </w:p>
        </w:tc>
        <w:tc>
          <w:tcPr>
            <w:tcW w:w="1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Општина Ћићевац</w:t>
            </w:r>
          </w:p>
        </w:tc>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Удео у Расинском округу (%)</w:t>
            </w:r>
          </w:p>
        </w:tc>
      </w:tr>
      <w:tr>
        <w:trPr/>
        <w:tc>
          <w:tcPr>
            <w:tcW w:w="463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rPr>
                <w:sz w:val="22"/>
                <w:szCs w:val="22"/>
              </w:rPr>
            </w:pPr>
            <w:r>
              <w:rPr>
                <w:sz w:val="22"/>
                <w:szCs w:val="22"/>
              </w:rPr>
              <w:t>Незапослени – укупно</w:t>
            </w:r>
          </w:p>
        </w:tc>
        <w:tc>
          <w:tcPr>
            <w:tcW w:w="15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712</w:t>
            </w:r>
          </w:p>
        </w:tc>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lang w:val="sr-Latn-RS"/>
              </w:rPr>
              <w:t>3,</w:t>
            </w:r>
            <w:r>
              <w:rPr/>
              <w:t>9</w:t>
            </w:r>
            <w:r>
              <w:rPr>
                <w:lang w:val="sr-Latn-RS"/>
              </w:rPr>
              <w:t>%</w:t>
            </w:r>
          </w:p>
        </w:tc>
      </w:tr>
      <w:tr>
        <w:trPr/>
        <w:tc>
          <w:tcPr>
            <w:tcW w:w="3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rPr>
                <w:sz w:val="22"/>
                <w:szCs w:val="22"/>
              </w:rPr>
            </w:pPr>
            <w:r>
              <w:rPr>
                <w:sz w:val="22"/>
                <w:szCs w:val="22"/>
              </w:rPr>
              <w:t>Незапослени – жене</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Број</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lang w:val="sr-Latn-RS"/>
              </w:rPr>
              <w:t>4</w:t>
            </w:r>
            <w:r>
              <w:rPr/>
              <w:t>31</w:t>
            </w:r>
          </w:p>
        </w:tc>
        <w:tc>
          <w:tcPr>
            <w:tcW w:w="20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 xml:space="preserve">4,10 </w:t>
            </w:r>
            <w:r>
              <w:rPr>
                <w:lang w:val="sr-Latn-RS"/>
              </w:rPr>
              <w:t>%</w:t>
            </w:r>
          </w:p>
        </w:tc>
      </w:tr>
      <w:tr>
        <w:trPr/>
        <w:tc>
          <w:tcPr>
            <w:tcW w:w="3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60,53</w:t>
            </w:r>
            <w:r>
              <w:rPr>
                <w:lang w:val="sr-Latn-RS"/>
              </w:rPr>
              <w:t>%</w:t>
            </w:r>
          </w:p>
        </w:tc>
        <w:tc>
          <w:tcPr>
            <w:tcW w:w="20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w:t>
            </w:r>
          </w:p>
        </w:tc>
      </w:tr>
      <w:tr>
        <w:trPr/>
        <w:tc>
          <w:tcPr>
            <w:tcW w:w="3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rPr>
                <w:sz w:val="22"/>
                <w:szCs w:val="22"/>
              </w:rPr>
            </w:pPr>
            <w:r>
              <w:rPr>
                <w:sz w:val="22"/>
                <w:szCs w:val="22"/>
              </w:rPr>
              <w:t>Незапослени – мушкарци</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Број</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281</w:t>
            </w:r>
          </w:p>
        </w:tc>
        <w:tc>
          <w:tcPr>
            <w:tcW w:w="20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3,64</w:t>
            </w:r>
            <w:r>
              <w:rPr>
                <w:lang w:val="sr-Latn-RS"/>
              </w:rPr>
              <w:t>%</w:t>
            </w:r>
          </w:p>
        </w:tc>
      </w:tr>
      <w:tr>
        <w:trPr/>
        <w:tc>
          <w:tcPr>
            <w:tcW w:w="3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39.47</w:t>
            </w:r>
            <w:r>
              <w:rPr>
                <w:lang w:val="sr-Latn-RS"/>
              </w:rPr>
              <w:t>%</w:t>
            </w:r>
          </w:p>
        </w:tc>
        <w:tc>
          <w:tcPr>
            <w:tcW w:w="20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00"/>
              <w:jc w:val="center"/>
              <w:rPr/>
            </w:pPr>
            <w:r>
              <w:rPr/>
              <w:t>/</w:t>
            </w:r>
          </w:p>
        </w:tc>
      </w:tr>
    </w:tbl>
    <w:p>
      <w:pPr>
        <w:pStyle w:val="Normal"/>
        <w:tabs>
          <w:tab w:val="left" w:pos="709" w:leader="none"/>
        </w:tabs>
        <w:spacing w:lineRule="exact" w:line="300"/>
        <w:jc w:val="center"/>
        <w:rPr>
          <w:b/>
          <w:b/>
          <w:i/>
          <w:i/>
        </w:rPr>
      </w:pPr>
      <w:r>
        <w:rPr>
          <w:b/>
          <w:i/>
        </w:rPr>
      </w:r>
    </w:p>
    <w:p>
      <w:pPr>
        <w:pStyle w:val="Normal"/>
        <w:tabs>
          <w:tab w:val="left" w:pos="709" w:leader="none"/>
        </w:tabs>
        <w:spacing w:lineRule="exact" w:line="300"/>
        <w:jc w:val="center"/>
        <w:rPr>
          <w:b/>
          <w:b/>
          <w:i/>
          <w:i/>
        </w:rPr>
      </w:pPr>
      <w:r>
        <w:rPr>
          <w:b/>
          <w:i/>
        </w:rPr>
        <w:t>Број и полна структура незапослених у општини Ћићевац по годинама</w:t>
      </w:r>
    </w:p>
    <w:p>
      <w:pPr>
        <w:pStyle w:val="Normal"/>
        <w:spacing w:lineRule="exact" w:line="300"/>
        <w:rPr/>
      </w:pPr>
      <w:r>
        <w:rPr/>
      </w:r>
    </w:p>
    <w:p>
      <w:pPr>
        <w:pStyle w:val="Normal"/>
        <w:spacing w:lineRule="exact" w:line="300"/>
        <w:rPr/>
      </w:pPr>
      <w:r>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4288"/>
        <w:gridCol w:w="1467"/>
        <w:gridCol w:w="1336"/>
        <w:gridCol w:w="1231"/>
        <w:gridCol w:w="1323"/>
      </w:tblGrid>
      <w:tr>
        <w:trPr/>
        <w:tc>
          <w:tcPr>
            <w:tcW w:w="4288" w:type="dxa"/>
            <w:tcBorders>
              <w:top w:val="single" w:sz="2" w:space="0" w:color="000000"/>
              <w:left w:val="single" w:sz="2" w:space="0" w:color="000000"/>
              <w:bottom w:val="single" w:sz="2" w:space="0" w:color="000000"/>
            </w:tcBorders>
            <w:shd w:color="auto" w:fill="auto" w:val="clear"/>
          </w:tcPr>
          <w:p>
            <w:pPr>
              <w:pStyle w:val="TableContents"/>
              <w:rPr/>
            </w:pPr>
            <w:r>
              <w:rPr/>
            </w:r>
          </w:p>
        </w:tc>
        <w:tc>
          <w:tcPr>
            <w:tcW w:w="1467" w:type="dxa"/>
            <w:tcBorders>
              <w:top w:val="single" w:sz="2" w:space="0" w:color="000000"/>
              <w:left w:val="single" w:sz="2" w:space="0" w:color="000000"/>
              <w:bottom w:val="single" w:sz="2" w:space="0" w:color="000000"/>
            </w:tcBorders>
            <w:shd w:color="auto" w:fill="auto" w:val="clear"/>
          </w:tcPr>
          <w:p>
            <w:pPr>
              <w:pStyle w:val="Normal"/>
              <w:spacing w:lineRule="exact" w:line="300"/>
              <w:jc w:val="center"/>
              <w:rPr/>
            </w:pPr>
            <w:r>
              <w:rPr/>
              <w:t>децембар 2018.</w:t>
            </w:r>
          </w:p>
        </w:tc>
        <w:tc>
          <w:tcPr>
            <w:tcW w:w="1336" w:type="dxa"/>
            <w:tcBorders>
              <w:top w:val="single" w:sz="2" w:space="0" w:color="000000"/>
              <w:left w:val="single" w:sz="2" w:space="0" w:color="000000"/>
              <w:bottom w:val="single" w:sz="2" w:space="0" w:color="000000"/>
            </w:tcBorders>
            <w:shd w:color="auto" w:fill="auto" w:val="clear"/>
          </w:tcPr>
          <w:p>
            <w:pPr>
              <w:pStyle w:val="Normal"/>
              <w:spacing w:lineRule="exact" w:line="300"/>
              <w:jc w:val="center"/>
              <w:rPr/>
            </w:pPr>
            <w:r>
              <w:rPr/>
              <w:t>децембар 2019.</w:t>
            </w:r>
          </w:p>
        </w:tc>
        <w:tc>
          <w:tcPr>
            <w:tcW w:w="1231" w:type="dxa"/>
            <w:tcBorders>
              <w:top w:val="single" w:sz="2" w:space="0" w:color="000000"/>
              <w:left w:val="single" w:sz="2" w:space="0" w:color="000000"/>
              <w:bottom w:val="single" w:sz="2" w:space="0" w:color="000000"/>
            </w:tcBorders>
            <w:shd w:color="auto" w:fill="auto" w:val="clear"/>
          </w:tcPr>
          <w:p>
            <w:pPr>
              <w:pStyle w:val="Normal"/>
              <w:spacing w:lineRule="exact" w:line="300"/>
              <w:jc w:val="center"/>
              <w:rPr/>
            </w:pPr>
            <w:r>
              <w:rPr/>
              <w:t>децембар</w:t>
            </w:r>
          </w:p>
          <w:p>
            <w:pPr>
              <w:pStyle w:val="Normal"/>
              <w:spacing w:lineRule="exact" w:line="300"/>
              <w:jc w:val="center"/>
              <w:rPr/>
            </w:pPr>
            <w:r>
              <w:rPr/>
              <w:t>2020.</w:t>
            </w:r>
          </w:p>
        </w:tc>
        <w:tc>
          <w:tcPr>
            <w:tcW w:w="1323"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exact" w:line="300"/>
              <w:jc w:val="center"/>
              <w:rPr/>
            </w:pPr>
            <w:r>
              <w:rPr/>
              <w:t>децембар 2021.</w:t>
            </w:r>
          </w:p>
        </w:tc>
      </w:tr>
      <w:tr>
        <w:trPr/>
        <w:tc>
          <w:tcPr>
            <w:tcW w:w="4288" w:type="dxa"/>
            <w:tcBorders>
              <w:left w:val="single" w:sz="2" w:space="0" w:color="000000"/>
              <w:bottom w:val="single" w:sz="2" w:space="0" w:color="000000"/>
            </w:tcBorders>
            <w:shd w:color="auto" w:fill="auto" w:val="clear"/>
          </w:tcPr>
          <w:p>
            <w:pPr>
              <w:pStyle w:val="Normal"/>
              <w:spacing w:lineRule="exact" w:line="300"/>
              <w:rPr/>
            </w:pPr>
            <w:r>
              <w:rPr/>
              <w:t>Незапослени – укупно</w:t>
            </w:r>
          </w:p>
        </w:tc>
        <w:tc>
          <w:tcPr>
            <w:tcW w:w="1467" w:type="dxa"/>
            <w:tcBorders>
              <w:left w:val="single" w:sz="2" w:space="0" w:color="000000"/>
              <w:bottom w:val="single" w:sz="2" w:space="0" w:color="000000"/>
            </w:tcBorders>
            <w:shd w:color="auto" w:fill="auto" w:val="clear"/>
          </w:tcPr>
          <w:p>
            <w:pPr>
              <w:pStyle w:val="Normal"/>
              <w:spacing w:lineRule="exact" w:line="300"/>
              <w:jc w:val="center"/>
              <w:rPr/>
            </w:pPr>
            <w:r>
              <w:rPr/>
              <w:t>783</w:t>
            </w:r>
          </w:p>
        </w:tc>
        <w:tc>
          <w:tcPr>
            <w:tcW w:w="1336" w:type="dxa"/>
            <w:tcBorders>
              <w:left w:val="single" w:sz="2" w:space="0" w:color="000000"/>
              <w:bottom w:val="single" w:sz="2" w:space="0" w:color="000000"/>
            </w:tcBorders>
            <w:shd w:color="auto" w:fill="auto" w:val="clear"/>
          </w:tcPr>
          <w:p>
            <w:pPr>
              <w:pStyle w:val="Normal"/>
              <w:spacing w:lineRule="exact" w:line="300"/>
              <w:jc w:val="center"/>
              <w:rPr/>
            </w:pPr>
            <w:r>
              <w:rPr/>
              <w:t>756</w:t>
            </w:r>
          </w:p>
        </w:tc>
        <w:tc>
          <w:tcPr>
            <w:tcW w:w="1231" w:type="dxa"/>
            <w:tcBorders>
              <w:left w:val="single" w:sz="2" w:space="0" w:color="000000"/>
              <w:bottom w:val="single" w:sz="2" w:space="0" w:color="000000"/>
            </w:tcBorders>
            <w:shd w:color="auto" w:fill="auto" w:val="clear"/>
          </w:tcPr>
          <w:p>
            <w:pPr>
              <w:pStyle w:val="Normal"/>
              <w:spacing w:lineRule="exact" w:line="300"/>
              <w:jc w:val="center"/>
              <w:rPr/>
            </w:pPr>
            <w:r>
              <w:rPr/>
              <w:t>815</w:t>
            </w:r>
          </w:p>
        </w:tc>
        <w:tc>
          <w:tcPr>
            <w:tcW w:w="1323" w:type="dxa"/>
            <w:tcBorders>
              <w:left w:val="single" w:sz="2" w:space="0" w:color="000000"/>
              <w:bottom w:val="single" w:sz="2" w:space="0" w:color="000000"/>
              <w:right w:val="single" w:sz="2" w:space="0" w:color="000000"/>
            </w:tcBorders>
            <w:shd w:color="auto" w:fill="auto" w:val="clear"/>
          </w:tcPr>
          <w:p>
            <w:pPr>
              <w:pStyle w:val="Normal"/>
              <w:spacing w:lineRule="exact" w:line="300"/>
              <w:jc w:val="center"/>
              <w:rPr/>
            </w:pPr>
            <w:r>
              <w:rPr/>
              <w:t>712</w:t>
            </w:r>
          </w:p>
        </w:tc>
      </w:tr>
      <w:tr>
        <w:trPr/>
        <w:tc>
          <w:tcPr>
            <w:tcW w:w="4288" w:type="dxa"/>
            <w:tcBorders>
              <w:left w:val="single" w:sz="2" w:space="0" w:color="000000"/>
              <w:bottom w:val="single" w:sz="2" w:space="0" w:color="000000"/>
            </w:tcBorders>
            <w:shd w:color="auto" w:fill="auto" w:val="clear"/>
          </w:tcPr>
          <w:p>
            <w:pPr>
              <w:pStyle w:val="Normal"/>
              <w:spacing w:lineRule="exact" w:line="300"/>
              <w:rPr/>
            </w:pPr>
            <w:r>
              <w:rPr/>
              <w:t>Незапослени – жене</w:t>
            </w:r>
          </w:p>
        </w:tc>
        <w:tc>
          <w:tcPr>
            <w:tcW w:w="1467" w:type="dxa"/>
            <w:tcBorders>
              <w:left w:val="single" w:sz="2" w:space="0" w:color="000000"/>
              <w:bottom w:val="single" w:sz="2" w:space="0" w:color="000000"/>
            </w:tcBorders>
            <w:shd w:color="auto" w:fill="auto" w:val="clear"/>
          </w:tcPr>
          <w:p>
            <w:pPr>
              <w:pStyle w:val="Normal"/>
              <w:spacing w:lineRule="exact" w:line="300"/>
              <w:jc w:val="center"/>
              <w:rPr/>
            </w:pPr>
            <w:r>
              <w:rPr/>
              <w:t>451</w:t>
            </w:r>
          </w:p>
        </w:tc>
        <w:tc>
          <w:tcPr>
            <w:tcW w:w="1336" w:type="dxa"/>
            <w:tcBorders>
              <w:left w:val="single" w:sz="2" w:space="0" w:color="000000"/>
              <w:bottom w:val="single" w:sz="2" w:space="0" w:color="000000"/>
            </w:tcBorders>
            <w:shd w:color="auto" w:fill="auto" w:val="clear"/>
          </w:tcPr>
          <w:p>
            <w:pPr>
              <w:pStyle w:val="Normal"/>
              <w:spacing w:lineRule="exact" w:line="300"/>
              <w:jc w:val="center"/>
              <w:rPr/>
            </w:pPr>
            <w:r>
              <w:rPr/>
              <w:t>442</w:t>
            </w:r>
          </w:p>
        </w:tc>
        <w:tc>
          <w:tcPr>
            <w:tcW w:w="1231" w:type="dxa"/>
            <w:tcBorders>
              <w:left w:val="single" w:sz="2" w:space="0" w:color="000000"/>
              <w:bottom w:val="single" w:sz="2" w:space="0" w:color="000000"/>
            </w:tcBorders>
            <w:shd w:color="auto" w:fill="auto" w:val="clear"/>
          </w:tcPr>
          <w:p>
            <w:pPr>
              <w:pStyle w:val="Normal"/>
              <w:spacing w:lineRule="exact" w:line="300"/>
              <w:jc w:val="center"/>
              <w:rPr/>
            </w:pPr>
            <w:r>
              <w:rPr>
                <w:lang w:val="sr-Latn-RS"/>
              </w:rPr>
              <w:t>4</w:t>
            </w:r>
            <w:r>
              <w:rPr/>
              <w:t>71</w:t>
            </w:r>
          </w:p>
        </w:tc>
        <w:tc>
          <w:tcPr>
            <w:tcW w:w="1323" w:type="dxa"/>
            <w:tcBorders>
              <w:left w:val="single" w:sz="2" w:space="0" w:color="000000"/>
              <w:bottom w:val="single" w:sz="2" w:space="0" w:color="000000"/>
              <w:right w:val="single" w:sz="2" w:space="0" w:color="000000"/>
            </w:tcBorders>
            <w:shd w:color="auto" w:fill="auto" w:val="clear"/>
          </w:tcPr>
          <w:p>
            <w:pPr>
              <w:pStyle w:val="Normal"/>
              <w:spacing w:lineRule="exact" w:line="300"/>
              <w:jc w:val="center"/>
              <w:rPr/>
            </w:pPr>
            <w:r>
              <w:rPr/>
              <w:t>431</w:t>
            </w:r>
          </w:p>
        </w:tc>
      </w:tr>
      <w:tr>
        <w:trPr/>
        <w:tc>
          <w:tcPr>
            <w:tcW w:w="4288" w:type="dxa"/>
            <w:tcBorders>
              <w:left w:val="single" w:sz="2" w:space="0" w:color="000000"/>
              <w:bottom w:val="single" w:sz="2" w:space="0" w:color="000000"/>
            </w:tcBorders>
            <w:shd w:color="auto" w:fill="auto" w:val="clear"/>
          </w:tcPr>
          <w:p>
            <w:pPr>
              <w:pStyle w:val="Normal"/>
              <w:spacing w:lineRule="exact" w:line="300"/>
              <w:rPr/>
            </w:pPr>
            <w:r>
              <w:rPr/>
              <w:t>Незапослени - мушкарци</w:t>
            </w:r>
          </w:p>
        </w:tc>
        <w:tc>
          <w:tcPr>
            <w:tcW w:w="1467" w:type="dxa"/>
            <w:tcBorders>
              <w:left w:val="single" w:sz="2" w:space="0" w:color="000000"/>
              <w:bottom w:val="single" w:sz="2" w:space="0" w:color="000000"/>
            </w:tcBorders>
            <w:shd w:color="auto" w:fill="auto" w:val="clear"/>
          </w:tcPr>
          <w:p>
            <w:pPr>
              <w:pStyle w:val="Normal"/>
              <w:spacing w:lineRule="exact" w:line="300"/>
              <w:jc w:val="center"/>
              <w:rPr/>
            </w:pPr>
            <w:r>
              <w:rPr/>
              <w:t>332</w:t>
            </w:r>
          </w:p>
        </w:tc>
        <w:tc>
          <w:tcPr>
            <w:tcW w:w="1336" w:type="dxa"/>
            <w:tcBorders>
              <w:left w:val="single" w:sz="2" w:space="0" w:color="000000"/>
              <w:bottom w:val="single" w:sz="2" w:space="0" w:color="000000"/>
            </w:tcBorders>
            <w:shd w:color="auto" w:fill="auto" w:val="clear"/>
          </w:tcPr>
          <w:p>
            <w:pPr>
              <w:pStyle w:val="Normal"/>
              <w:spacing w:lineRule="exact" w:line="300"/>
              <w:jc w:val="center"/>
              <w:rPr/>
            </w:pPr>
            <w:r>
              <w:rPr/>
              <w:t>314</w:t>
            </w:r>
          </w:p>
        </w:tc>
        <w:tc>
          <w:tcPr>
            <w:tcW w:w="1231" w:type="dxa"/>
            <w:tcBorders>
              <w:left w:val="single" w:sz="2" w:space="0" w:color="000000"/>
              <w:bottom w:val="single" w:sz="2" w:space="0" w:color="000000"/>
            </w:tcBorders>
            <w:shd w:color="auto" w:fill="auto" w:val="clear"/>
          </w:tcPr>
          <w:p>
            <w:pPr>
              <w:pStyle w:val="Normal"/>
              <w:spacing w:lineRule="exact" w:line="300"/>
              <w:jc w:val="center"/>
              <w:rPr/>
            </w:pPr>
            <w:r>
              <w:rPr/>
              <w:t>344</w:t>
            </w:r>
          </w:p>
        </w:tc>
        <w:tc>
          <w:tcPr>
            <w:tcW w:w="1323" w:type="dxa"/>
            <w:tcBorders>
              <w:left w:val="single" w:sz="2" w:space="0" w:color="000000"/>
              <w:bottom w:val="single" w:sz="2" w:space="0" w:color="000000"/>
              <w:right w:val="single" w:sz="2" w:space="0" w:color="000000"/>
            </w:tcBorders>
            <w:shd w:color="auto" w:fill="auto" w:val="clear"/>
          </w:tcPr>
          <w:p>
            <w:pPr>
              <w:pStyle w:val="Normal"/>
              <w:spacing w:lineRule="exact" w:line="300"/>
              <w:jc w:val="center"/>
              <w:rPr/>
            </w:pPr>
            <w:r>
              <w:rPr/>
              <w:t>281</w:t>
            </w:r>
          </w:p>
        </w:tc>
      </w:tr>
    </w:tbl>
    <w:p>
      <w:pPr>
        <w:pStyle w:val="Normal"/>
        <w:spacing w:lineRule="exact" w:line="300"/>
        <w:rPr/>
      </w:pPr>
      <w:r>
        <w:rPr/>
      </w:r>
    </w:p>
    <w:p>
      <w:pPr>
        <w:pStyle w:val="Normal"/>
        <w:spacing w:lineRule="exact" w:line="300"/>
        <w:rPr/>
      </w:pPr>
      <w:r>
        <w:rPr/>
      </w:r>
    </w:p>
    <w:p>
      <w:pPr>
        <w:pStyle w:val="Normal"/>
        <w:ind w:firstLine="720"/>
        <w:jc w:val="both"/>
        <w:rPr/>
      </w:pPr>
      <w:r>
        <w:rPr>
          <w:szCs w:val="22"/>
        </w:rPr>
        <w:t>Основни индикатори тржишта рада  у 2021. години у односу на 2020. годину бележе позитивне трендове, број незапослених је смањен за 103 лица. Неравноправан положај полова на тржишту рада је и даље присутан. Стопа незапослености жена у 2021. години износи 60,53%, а мушкараца 39,47%.</w:t>
      </w:r>
    </w:p>
    <w:p>
      <w:pPr>
        <w:pStyle w:val="Normal"/>
        <w:spacing w:lineRule="auto" w:line="276"/>
        <w:ind w:firstLine="720"/>
        <w:jc w:val="both"/>
        <w:rPr>
          <w:rFonts w:eastAsia="Times New Roman"/>
          <w:sz w:val="14"/>
        </w:rPr>
      </w:pPr>
      <w:r>
        <w:rPr>
          <w:rFonts w:eastAsia="Times New Roman"/>
          <w:sz w:val="14"/>
        </w:rPr>
      </w:r>
    </w:p>
    <w:p>
      <w:pPr>
        <w:pStyle w:val="Normal"/>
        <w:spacing w:lineRule="exact" w:line="300"/>
        <w:ind w:firstLine="720"/>
        <w:jc w:val="center"/>
        <w:rPr/>
      </w:pPr>
      <w:r>
        <w:rPr>
          <w:rFonts w:eastAsia="Times New Roman"/>
          <w:b/>
          <w:bCs/>
          <w:i/>
        </w:rPr>
        <w:t>Старосна структура незапослених лица  по годинама</w:t>
      </w:r>
    </w:p>
    <w:p>
      <w:pPr>
        <w:pStyle w:val="Normal"/>
        <w:spacing w:lineRule="exact" w:line="300"/>
        <w:ind w:firstLine="720"/>
        <w:jc w:val="center"/>
        <w:rPr>
          <w:rFonts w:eastAsia="Times New Roman"/>
          <w:b/>
          <w:b/>
          <w:bCs/>
          <w:i/>
          <w:i/>
        </w:rPr>
      </w:pPr>
      <w:r>
        <w:rPr>
          <w:rFonts w:eastAsia="Times New Roman"/>
          <w:b/>
          <w:bCs/>
          <w:i/>
        </w:rPr>
      </w:r>
    </w:p>
    <w:p>
      <w:pPr>
        <w:pStyle w:val="Normal"/>
        <w:spacing w:lineRule="exact" w:line="300"/>
        <w:ind w:firstLine="720"/>
        <w:jc w:val="center"/>
        <w:rPr>
          <w:rFonts w:eastAsia="Times New Roman"/>
          <w:b/>
          <w:b/>
          <w:bCs/>
          <w:i/>
          <w:i/>
        </w:rPr>
      </w:pPr>
      <w:r>
        <w:rPr>
          <w:rFonts w:eastAsia="Times New Roman"/>
          <w:b/>
          <w:bCs/>
          <w:i/>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3029"/>
        <w:gridCol w:w="1745"/>
        <w:gridCol w:w="1522"/>
        <w:gridCol w:w="1691"/>
        <w:gridCol w:w="1658"/>
      </w:tblGrid>
      <w:tr>
        <w:trPr/>
        <w:tc>
          <w:tcPr>
            <w:tcW w:w="3029" w:type="dxa"/>
            <w:tcBorders>
              <w:top w:val="single" w:sz="2" w:space="0" w:color="000000"/>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Незапосленост</w:t>
            </w:r>
          </w:p>
        </w:tc>
        <w:tc>
          <w:tcPr>
            <w:tcW w:w="1745" w:type="dxa"/>
            <w:tcBorders>
              <w:top w:val="single" w:sz="2" w:space="0" w:color="000000"/>
              <w:left w:val="single" w:sz="2" w:space="0" w:color="000000"/>
              <w:bottom w:val="single" w:sz="2" w:space="0" w:color="000000"/>
            </w:tcBorders>
            <w:shd w:color="auto" w:fill="auto" w:val="clear"/>
          </w:tcPr>
          <w:p>
            <w:pPr>
              <w:pStyle w:val="Normal"/>
              <w:suppressLineNumbers/>
              <w:spacing w:lineRule="exact" w:line="300"/>
              <w:jc w:val="center"/>
              <w:rPr/>
            </w:pPr>
            <w:r>
              <w:rPr/>
              <w:t>Децембар 2018.</w:t>
            </w:r>
          </w:p>
        </w:tc>
        <w:tc>
          <w:tcPr>
            <w:tcW w:w="1522" w:type="dxa"/>
            <w:tcBorders>
              <w:top w:val="single" w:sz="2" w:space="0" w:color="000000"/>
              <w:left w:val="single" w:sz="2" w:space="0" w:color="000000"/>
              <w:bottom w:val="single" w:sz="2" w:space="0" w:color="000000"/>
            </w:tcBorders>
            <w:shd w:color="auto" w:fill="auto" w:val="clear"/>
          </w:tcPr>
          <w:p>
            <w:pPr>
              <w:pStyle w:val="Normal"/>
              <w:suppressLineNumbers/>
              <w:spacing w:lineRule="exact" w:line="300"/>
              <w:jc w:val="center"/>
              <w:rPr/>
            </w:pPr>
            <w:r>
              <w:rPr/>
              <w:t>Децембар 2019.</w:t>
            </w:r>
          </w:p>
        </w:tc>
        <w:tc>
          <w:tcPr>
            <w:tcW w:w="1691" w:type="dxa"/>
            <w:tcBorders>
              <w:top w:val="single" w:sz="2" w:space="0" w:color="000000"/>
              <w:left w:val="single" w:sz="2" w:space="0" w:color="000000"/>
              <w:bottom w:val="single" w:sz="2" w:space="0" w:color="000000"/>
            </w:tcBorders>
            <w:shd w:color="auto" w:fill="auto" w:val="clear"/>
          </w:tcPr>
          <w:p>
            <w:pPr>
              <w:pStyle w:val="Normal"/>
              <w:suppressLineNumbers/>
              <w:spacing w:lineRule="exact" w:line="300"/>
              <w:jc w:val="center"/>
              <w:rPr/>
            </w:pPr>
            <w:r>
              <w:rPr/>
              <w:t>Децембар 2020.</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uppressLineNumbers/>
              <w:spacing w:lineRule="exact" w:line="300"/>
              <w:jc w:val="center"/>
              <w:rPr/>
            </w:pPr>
            <w:r>
              <w:rPr/>
              <w:t>Децембар 2021.</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Укупан број незапослених лица</w:t>
            </w:r>
          </w:p>
        </w:tc>
        <w:tc>
          <w:tcPr>
            <w:tcW w:w="1745" w:type="dxa"/>
            <w:tcBorders>
              <w:left w:val="single" w:sz="2" w:space="0" w:color="000000"/>
              <w:bottom w:val="single" w:sz="2" w:space="0" w:color="000000"/>
            </w:tcBorders>
            <w:shd w:color="auto" w:fill="auto" w:val="clear"/>
          </w:tcPr>
          <w:p>
            <w:pPr>
              <w:pStyle w:val="Normal"/>
              <w:spacing w:lineRule="exact" w:line="300"/>
              <w:jc w:val="center"/>
              <w:rPr/>
            </w:pPr>
            <w:r>
              <w:rPr/>
              <w:t>783</w:t>
            </w:r>
          </w:p>
        </w:tc>
        <w:tc>
          <w:tcPr>
            <w:tcW w:w="1522" w:type="dxa"/>
            <w:tcBorders>
              <w:left w:val="single" w:sz="2" w:space="0" w:color="000000"/>
              <w:bottom w:val="single" w:sz="2" w:space="0" w:color="000000"/>
            </w:tcBorders>
            <w:shd w:color="auto" w:fill="auto" w:val="clear"/>
          </w:tcPr>
          <w:p>
            <w:pPr>
              <w:pStyle w:val="Normal"/>
              <w:spacing w:lineRule="exact" w:line="300"/>
              <w:jc w:val="center"/>
              <w:rPr/>
            </w:pPr>
            <w:r>
              <w:rPr/>
              <w:t>756</w:t>
            </w:r>
          </w:p>
        </w:tc>
        <w:tc>
          <w:tcPr>
            <w:tcW w:w="1691" w:type="dxa"/>
            <w:tcBorders>
              <w:left w:val="single" w:sz="2" w:space="0" w:color="000000"/>
              <w:bottom w:val="single" w:sz="2" w:space="0" w:color="000000"/>
            </w:tcBorders>
            <w:shd w:color="auto" w:fill="auto" w:val="clear"/>
          </w:tcPr>
          <w:p>
            <w:pPr>
              <w:pStyle w:val="Normal"/>
              <w:spacing w:lineRule="exact" w:line="300"/>
              <w:jc w:val="center"/>
              <w:rPr/>
            </w:pPr>
            <w:r>
              <w:rPr/>
              <w:t>815</w:t>
            </w:r>
          </w:p>
        </w:tc>
        <w:tc>
          <w:tcPr>
            <w:tcW w:w="1658" w:type="dxa"/>
            <w:tcBorders>
              <w:left w:val="single" w:sz="2" w:space="0" w:color="000000"/>
              <w:bottom w:val="single" w:sz="2" w:space="0" w:color="000000"/>
              <w:right w:val="single" w:sz="2" w:space="0" w:color="000000"/>
            </w:tcBorders>
            <w:shd w:color="auto" w:fill="auto" w:val="clear"/>
          </w:tcPr>
          <w:p>
            <w:pPr>
              <w:pStyle w:val="Normal"/>
              <w:spacing w:lineRule="exact" w:line="300"/>
              <w:jc w:val="center"/>
              <w:rPr>
                <w:color w:val="C9211E"/>
              </w:rPr>
            </w:pPr>
            <w:r>
              <w:rPr>
                <w:color w:val="000000"/>
              </w:rPr>
              <w:t>712</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 xml:space="preserve">Број незапослених </w:t>
            </w:r>
          </w:p>
          <w:p>
            <w:pPr>
              <w:pStyle w:val="Normal"/>
              <w:tabs>
                <w:tab w:val="clear" w:pos="709"/>
                <w:tab w:val="left" w:pos="2640" w:leader="none"/>
              </w:tabs>
              <w:spacing w:lineRule="exact" w:line="300"/>
              <w:rPr/>
            </w:pPr>
            <w:r>
              <w:rPr/>
              <w:t>младих (15-29 година)</w:t>
            </w:r>
          </w:p>
        </w:tc>
        <w:tc>
          <w:tcPr>
            <w:tcW w:w="1745"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157</w:t>
            </w:r>
          </w:p>
        </w:tc>
        <w:tc>
          <w:tcPr>
            <w:tcW w:w="1522"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164</w:t>
            </w:r>
          </w:p>
        </w:tc>
        <w:tc>
          <w:tcPr>
            <w:tcW w:w="1691"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lang w:val="sr-Latn-RS"/>
              </w:rPr>
              <w:t>1</w:t>
            </w:r>
            <w:r>
              <w:rPr/>
              <w:t>72</w:t>
            </w:r>
          </w:p>
        </w:tc>
        <w:tc>
          <w:tcPr>
            <w:tcW w:w="1658" w:type="dxa"/>
            <w:tcBorders>
              <w:left w:val="single" w:sz="2" w:space="0" w:color="000000"/>
              <w:bottom w:val="single" w:sz="2" w:space="0" w:color="000000"/>
              <w:right w:val="single" w:sz="2" w:space="0" w:color="000000"/>
            </w:tcBorders>
            <w:shd w:color="auto" w:fill="auto" w:val="clear"/>
          </w:tcPr>
          <w:p>
            <w:pPr>
              <w:pStyle w:val="Normal"/>
              <w:tabs>
                <w:tab w:val="clear" w:pos="709"/>
                <w:tab w:val="left" w:pos="2640" w:leader="none"/>
              </w:tabs>
              <w:spacing w:lineRule="exact" w:line="300"/>
              <w:jc w:val="center"/>
              <w:rPr/>
            </w:pPr>
            <w:r>
              <w:rPr/>
              <w:t>114</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 xml:space="preserve">Број незапослених </w:t>
            </w:r>
          </w:p>
          <w:p>
            <w:pPr>
              <w:pStyle w:val="Normal"/>
              <w:tabs>
                <w:tab w:val="clear" w:pos="709"/>
                <w:tab w:val="left" w:pos="2640" w:leader="none"/>
              </w:tabs>
              <w:spacing w:lineRule="exact" w:line="300"/>
              <w:rPr/>
            </w:pPr>
            <w:r>
              <w:rPr/>
              <w:t>младих (30-49 година)</w:t>
            </w:r>
          </w:p>
        </w:tc>
        <w:tc>
          <w:tcPr>
            <w:tcW w:w="1745"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350</w:t>
            </w:r>
          </w:p>
        </w:tc>
        <w:tc>
          <w:tcPr>
            <w:tcW w:w="1522"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331</w:t>
            </w:r>
          </w:p>
        </w:tc>
        <w:tc>
          <w:tcPr>
            <w:tcW w:w="1691"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357</w:t>
            </w:r>
          </w:p>
        </w:tc>
        <w:tc>
          <w:tcPr>
            <w:tcW w:w="1658" w:type="dxa"/>
            <w:tcBorders>
              <w:left w:val="single" w:sz="2" w:space="0" w:color="000000"/>
              <w:bottom w:val="single" w:sz="2" w:space="0" w:color="000000"/>
              <w:right w:val="single" w:sz="2" w:space="0" w:color="000000"/>
            </w:tcBorders>
            <w:shd w:color="auto" w:fill="auto" w:val="clear"/>
          </w:tcPr>
          <w:p>
            <w:pPr>
              <w:pStyle w:val="Normal"/>
              <w:tabs>
                <w:tab w:val="clear" w:pos="709"/>
                <w:tab w:val="left" w:pos="2640" w:leader="none"/>
              </w:tabs>
              <w:spacing w:lineRule="exact" w:line="300"/>
              <w:jc w:val="center"/>
              <w:rPr/>
            </w:pPr>
            <w:r>
              <w:rPr/>
              <w:t>302</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Број незапослених старијих од 50 година</w:t>
            </w:r>
          </w:p>
        </w:tc>
        <w:tc>
          <w:tcPr>
            <w:tcW w:w="1745"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276</w:t>
            </w:r>
          </w:p>
        </w:tc>
        <w:tc>
          <w:tcPr>
            <w:tcW w:w="1522"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261</w:t>
            </w:r>
          </w:p>
        </w:tc>
        <w:tc>
          <w:tcPr>
            <w:tcW w:w="1691"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286</w:t>
            </w:r>
          </w:p>
        </w:tc>
        <w:tc>
          <w:tcPr>
            <w:tcW w:w="1658" w:type="dxa"/>
            <w:tcBorders>
              <w:left w:val="single" w:sz="2" w:space="0" w:color="000000"/>
              <w:bottom w:val="single" w:sz="2" w:space="0" w:color="000000"/>
              <w:right w:val="single" w:sz="2" w:space="0" w:color="000000"/>
            </w:tcBorders>
            <w:shd w:color="auto" w:fill="auto" w:val="clear"/>
          </w:tcPr>
          <w:p>
            <w:pPr>
              <w:pStyle w:val="Normal"/>
              <w:tabs>
                <w:tab w:val="clear" w:pos="709"/>
                <w:tab w:val="left" w:pos="2640" w:leader="none"/>
              </w:tabs>
              <w:spacing w:lineRule="exact" w:line="300"/>
              <w:jc w:val="center"/>
              <w:rPr/>
            </w:pPr>
            <w:r>
              <w:rPr/>
              <w:t>296</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Дугорочно незапослени (преко 12 месеци)</w:t>
            </w:r>
          </w:p>
        </w:tc>
        <w:tc>
          <w:tcPr>
            <w:tcW w:w="1745"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512</w:t>
            </w:r>
          </w:p>
        </w:tc>
        <w:tc>
          <w:tcPr>
            <w:tcW w:w="1522"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456</w:t>
            </w:r>
          </w:p>
        </w:tc>
        <w:tc>
          <w:tcPr>
            <w:tcW w:w="1691"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523</w:t>
            </w:r>
          </w:p>
        </w:tc>
        <w:tc>
          <w:tcPr>
            <w:tcW w:w="1658" w:type="dxa"/>
            <w:tcBorders>
              <w:left w:val="single" w:sz="2" w:space="0" w:color="000000"/>
              <w:bottom w:val="single" w:sz="2" w:space="0" w:color="000000"/>
              <w:right w:val="single" w:sz="2" w:space="0" w:color="000000"/>
            </w:tcBorders>
            <w:shd w:color="auto" w:fill="auto" w:val="clear"/>
          </w:tcPr>
          <w:p>
            <w:pPr>
              <w:pStyle w:val="Normal"/>
              <w:tabs>
                <w:tab w:val="clear" w:pos="709"/>
                <w:tab w:val="left" w:pos="2640" w:leader="none"/>
              </w:tabs>
              <w:spacing w:lineRule="exact" w:line="300"/>
              <w:jc w:val="center"/>
              <w:rPr/>
            </w:pPr>
            <w:r>
              <w:rPr/>
              <w:t>428</w:t>
            </w:r>
          </w:p>
        </w:tc>
      </w:tr>
      <w:tr>
        <w:trPr/>
        <w:tc>
          <w:tcPr>
            <w:tcW w:w="3029"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rPr/>
            </w:pPr>
            <w:r>
              <w:rPr/>
              <w:t>Учешће – удео дугорочно незапослених</w:t>
            </w:r>
          </w:p>
        </w:tc>
        <w:tc>
          <w:tcPr>
            <w:tcW w:w="1745"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65,39</w:t>
            </w:r>
            <w:r>
              <w:rPr>
                <w:lang w:val="sr-Latn-RS"/>
              </w:rPr>
              <w:t>%</w:t>
            </w:r>
          </w:p>
        </w:tc>
        <w:tc>
          <w:tcPr>
            <w:tcW w:w="1522"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60,32%</w:t>
            </w:r>
          </w:p>
        </w:tc>
        <w:tc>
          <w:tcPr>
            <w:tcW w:w="1691" w:type="dxa"/>
            <w:tcBorders>
              <w:left w:val="single" w:sz="2" w:space="0" w:color="000000"/>
              <w:bottom w:val="single" w:sz="2" w:space="0" w:color="000000"/>
            </w:tcBorders>
            <w:shd w:color="auto" w:fill="auto" w:val="clear"/>
          </w:tcPr>
          <w:p>
            <w:pPr>
              <w:pStyle w:val="Normal"/>
              <w:tabs>
                <w:tab w:val="clear" w:pos="709"/>
                <w:tab w:val="left" w:pos="2640" w:leader="none"/>
              </w:tabs>
              <w:spacing w:lineRule="exact" w:line="300"/>
              <w:jc w:val="center"/>
              <w:rPr/>
            </w:pPr>
            <w:r>
              <w:rPr/>
              <w:t>60,92</w:t>
            </w:r>
            <w:r>
              <w:rPr>
                <w:lang w:val="sr-Latn-RS"/>
              </w:rPr>
              <w:t>%</w:t>
            </w:r>
          </w:p>
        </w:tc>
        <w:tc>
          <w:tcPr>
            <w:tcW w:w="1658" w:type="dxa"/>
            <w:tcBorders>
              <w:left w:val="single" w:sz="2" w:space="0" w:color="000000"/>
              <w:bottom w:val="single" w:sz="2" w:space="0" w:color="000000"/>
              <w:right w:val="single" w:sz="2" w:space="0" w:color="000000"/>
            </w:tcBorders>
            <w:shd w:color="auto" w:fill="auto" w:val="clear"/>
          </w:tcPr>
          <w:p>
            <w:pPr>
              <w:pStyle w:val="Normal"/>
              <w:tabs>
                <w:tab w:val="clear" w:pos="709"/>
                <w:tab w:val="left" w:pos="2640" w:leader="none"/>
              </w:tabs>
              <w:spacing w:lineRule="exact" w:line="300"/>
              <w:jc w:val="center"/>
              <w:rPr/>
            </w:pPr>
            <w:r>
              <w:rPr/>
              <w:t>60,11</w:t>
            </w:r>
          </w:p>
        </w:tc>
      </w:tr>
    </w:tbl>
    <w:p>
      <w:pPr>
        <w:pStyle w:val="Normal"/>
        <w:spacing w:lineRule="exact" w:line="300"/>
        <w:ind w:firstLine="720"/>
        <w:jc w:val="center"/>
        <w:rPr>
          <w:rFonts w:eastAsia="Times New Roman"/>
          <w:b/>
          <w:b/>
          <w:bCs/>
          <w:i/>
          <w:i/>
        </w:rPr>
      </w:pPr>
      <w:r>
        <w:rPr>
          <w:rFonts w:eastAsia="Times New Roman"/>
          <w:b/>
          <w:bCs/>
          <w:i/>
        </w:rPr>
      </w:r>
    </w:p>
    <w:p>
      <w:pPr>
        <w:pStyle w:val="Normal"/>
        <w:spacing w:lineRule="exact" w:line="300"/>
        <w:ind w:firstLine="720"/>
        <w:jc w:val="center"/>
        <w:rPr>
          <w:rFonts w:eastAsia="Times New Roman"/>
          <w:b/>
          <w:b/>
          <w:bCs/>
          <w:i/>
          <w:i/>
        </w:rPr>
      </w:pPr>
      <w:r>
        <w:rPr>
          <w:rFonts w:eastAsia="Times New Roman"/>
          <w:b/>
          <w:bCs/>
          <w:i/>
        </w:rPr>
      </w:r>
    </w:p>
    <w:p>
      <w:pPr>
        <w:pStyle w:val="Normal"/>
        <w:spacing w:lineRule="exact" w:line="300"/>
        <w:jc w:val="both"/>
        <w:rPr/>
      </w:pPr>
      <w:r>
        <w:rPr>
          <w:rFonts w:eastAsia="Times New Roman"/>
        </w:rPr>
        <w:t>Када је у питању старосна структура, број незапослених лица по свим категоријама се смањио у 2021. години у односу на 2020. годину.Једино је дошло до незнатног повећања броја незапослених старијих од 50 година. Процентар дугорочно незапослених и даље је висок и креће се око 60% од укупног броја незаппослених.</w:t>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jc w:val="center"/>
        <w:rPr/>
      </w:pPr>
      <w:r>
        <w:rPr>
          <w:rFonts w:eastAsia="Times New Roman"/>
          <w:b/>
          <w:i/>
        </w:rPr>
        <w:t xml:space="preserve">Незапосленост према степену стручне спреме у општини Ћићевац, </w:t>
      </w:r>
    </w:p>
    <w:p>
      <w:pPr>
        <w:pStyle w:val="Normal"/>
        <w:spacing w:lineRule="exact" w:line="300"/>
        <w:jc w:val="center"/>
        <w:rPr/>
      </w:pPr>
      <w:r>
        <w:rPr>
          <w:rFonts w:eastAsia="Times New Roman"/>
          <w:b/>
          <w:i/>
        </w:rPr>
        <w:t>на дан 31.12.2021. године</w:t>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tbl>
      <w:tblPr>
        <w:tblW w:w="10125" w:type="dxa"/>
        <w:jc w:val="left"/>
        <w:tblInd w:w="-241" w:type="dxa"/>
        <w:tblCellMar>
          <w:top w:w="0" w:type="dxa"/>
          <w:left w:w="108" w:type="dxa"/>
          <w:bottom w:w="0" w:type="dxa"/>
          <w:right w:w="108" w:type="dxa"/>
        </w:tblCellMar>
        <w:tblLook w:firstRow="1" w:noVBand="1" w:lastRow="0" w:firstColumn="1" w:lastColumn="0" w:noHBand="0" w:val="04a0"/>
      </w:tblPr>
      <w:tblGrid>
        <w:gridCol w:w="1676"/>
        <w:gridCol w:w="759"/>
        <w:gridCol w:w="832"/>
        <w:gridCol w:w="836"/>
        <w:gridCol w:w="841"/>
        <w:gridCol w:w="836"/>
        <w:gridCol w:w="840"/>
        <w:gridCol w:w="837"/>
        <w:gridCol w:w="836"/>
        <w:gridCol w:w="836"/>
        <w:gridCol w:w="994"/>
      </w:tblGrid>
      <w:tr>
        <w:trPr>
          <w:trHeight w:val="305" w:hRule="atLeast"/>
        </w:trPr>
        <w:tc>
          <w:tcPr>
            <w:tcW w:w="167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exact" w:line="300"/>
              <w:rPr>
                <w:rFonts w:eastAsia="Times New Roman"/>
                <w:color w:val="000000"/>
              </w:rPr>
            </w:pPr>
            <w:r>
              <w:rPr>
                <w:rFonts w:eastAsia="Times New Roman"/>
                <w:color w:val="000000"/>
              </w:rPr>
              <w:t xml:space="preserve">Број незапослених </w:t>
            </w:r>
          </w:p>
        </w:tc>
        <w:tc>
          <w:tcPr>
            <w:tcW w:w="8447" w:type="dxa"/>
            <w:gridSpan w:val="10"/>
            <w:tcBorders>
              <w:top w:val="single" w:sz="8" w:space="0" w:color="000000"/>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lang w:val="ru-RU"/>
              </w:rPr>
            </w:pPr>
            <w:r>
              <w:rPr>
                <w:rFonts w:eastAsia="Times New Roman"/>
                <w:color w:val="000000"/>
                <w:lang w:val="ru-RU"/>
              </w:rPr>
              <w:t>Степен стручне спреме</w:t>
            </w:r>
          </w:p>
        </w:tc>
      </w:tr>
      <w:tr>
        <w:trPr>
          <w:trHeight w:val="277" w:hRule="atLeast"/>
        </w:trPr>
        <w:tc>
          <w:tcPr>
            <w:tcW w:w="16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pPr>
            <w:r>
              <w:rPr/>
            </w:r>
          </w:p>
        </w:tc>
        <w:tc>
          <w:tcPr>
            <w:tcW w:w="759"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lang w:val="sr-Latn-RS"/>
              </w:rPr>
            </w:pPr>
            <w:r>
              <w:rPr>
                <w:rFonts w:eastAsia="Times New Roman"/>
                <w:color w:val="000000"/>
                <w:lang w:val="sr-Latn-RS"/>
              </w:rPr>
              <w:t>I</w:t>
            </w:r>
          </w:p>
        </w:tc>
        <w:tc>
          <w:tcPr>
            <w:tcW w:w="832" w:type="dxa"/>
            <w:tcBorders>
              <w:bottom w:val="single" w:sz="8" w:space="0" w:color="000000"/>
              <w:right w:val="single" w:sz="4"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II</w:t>
            </w:r>
          </w:p>
        </w:tc>
        <w:tc>
          <w:tcPr>
            <w:tcW w:w="836" w:type="dxa"/>
            <w:tcBorders>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spacing w:lineRule="exact" w:line="300"/>
              <w:jc w:val="center"/>
              <w:rPr>
                <w:rFonts w:eastAsia="Times New Roman"/>
                <w:color w:val="000000"/>
              </w:rPr>
            </w:pPr>
            <w:r>
              <w:rPr>
                <w:rFonts w:eastAsia="Times New Roman"/>
                <w:color w:val="000000"/>
              </w:rPr>
              <w:t>III</w:t>
            </w:r>
          </w:p>
        </w:tc>
        <w:tc>
          <w:tcPr>
            <w:tcW w:w="841"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IV</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V</w:t>
            </w:r>
          </w:p>
        </w:tc>
        <w:tc>
          <w:tcPr>
            <w:tcW w:w="840"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VI-1</w:t>
            </w:r>
          </w:p>
        </w:tc>
        <w:tc>
          <w:tcPr>
            <w:tcW w:w="837"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VI-2</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VII-1</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 xml:space="preserve">VII-2 </w:t>
            </w:r>
          </w:p>
        </w:tc>
        <w:tc>
          <w:tcPr>
            <w:tcW w:w="994" w:type="dxa"/>
            <w:tcBorders>
              <w:bottom w:val="single" w:sz="8" w:space="0" w:color="000000"/>
              <w:right w:val="single" w:sz="8" w:space="0" w:color="000000"/>
            </w:tcBorders>
            <w:shd w:color="auto" w:fill="auto" w:val="clear"/>
            <w:tcMar>
              <w:left w:w="10" w:type="dxa"/>
              <w:right w:w="10" w:type="dxa"/>
            </w:tcMar>
          </w:tcPr>
          <w:p>
            <w:pPr>
              <w:pStyle w:val="Normal"/>
              <w:spacing w:lineRule="exact" w:line="300"/>
              <w:jc w:val="center"/>
              <w:rPr>
                <w:rFonts w:eastAsia="Times New Roman"/>
                <w:color w:val="000000"/>
                <w:lang w:val="sr-Latn-RS"/>
              </w:rPr>
            </w:pPr>
            <w:r>
              <w:rPr>
                <w:rFonts w:eastAsia="Times New Roman"/>
                <w:color w:val="000000"/>
                <w:lang w:val="sr-Latn-RS"/>
              </w:rPr>
              <w:t>VIII</w:t>
            </w:r>
          </w:p>
        </w:tc>
      </w:tr>
      <w:tr>
        <w:trPr>
          <w:trHeight w:val="305" w:hRule="atLeast"/>
        </w:trPr>
        <w:tc>
          <w:tcPr>
            <w:tcW w:w="1676" w:type="dxa"/>
            <w:tcBorders>
              <w:left w:val="single" w:sz="8" w:space="0" w:color="000000"/>
              <w:bottom w:val="single" w:sz="8" w:space="0" w:color="000000"/>
              <w:right w:val="single" w:sz="8" w:space="0" w:color="000000"/>
            </w:tcBorders>
            <w:shd w:color="auto" w:fill="auto" w:val="clear"/>
            <w:vAlign w:val="center"/>
          </w:tcPr>
          <w:p>
            <w:pPr>
              <w:pStyle w:val="Normal"/>
              <w:spacing w:lineRule="exact" w:line="300"/>
              <w:rPr>
                <w:rFonts w:eastAsia="Times New Roman"/>
                <w:color w:val="000000"/>
                <w:lang w:val="ru-RU"/>
              </w:rPr>
            </w:pPr>
            <w:r>
              <w:rPr>
                <w:rFonts w:eastAsia="Times New Roman"/>
                <w:color w:val="000000"/>
                <w:lang w:val="ru-RU"/>
              </w:rPr>
              <w:t>Укупно</w:t>
            </w:r>
          </w:p>
        </w:tc>
        <w:tc>
          <w:tcPr>
            <w:tcW w:w="759"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257</w:t>
            </w:r>
          </w:p>
        </w:tc>
        <w:tc>
          <w:tcPr>
            <w:tcW w:w="832" w:type="dxa"/>
            <w:tcBorders>
              <w:top w:val="single" w:sz="8" w:space="0" w:color="000000"/>
              <w:bottom w:val="single" w:sz="8" w:space="0" w:color="000000"/>
              <w:right w:val="single" w:sz="4" w:space="0" w:color="000000"/>
            </w:tcBorders>
            <w:shd w:color="auto" w:fill="auto" w:val="clear"/>
            <w:vAlign w:val="center"/>
          </w:tcPr>
          <w:p>
            <w:pPr>
              <w:pStyle w:val="Normal"/>
              <w:spacing w:lineRule="exact" w:line="300"/>
              <w:jc w:val="center"/>
              <w:rPr/>
            </w:pPr>
            <w:r>
              <w:rPr>
                <w:rFonts w:eastAsia="Times New Roman"/>
                <w:color w:val="000000"/>
              </w:rPr>
              <w:t>15</w:t>
            </w:r>
          </w:p>
        </w:tc>
        <w:tc>
          <w:tcPr>
            <w:tcW w:w="836" w:type="dxa"/>
            <w:tcBorders>
              <w:top w:val="single" w:sz="8" w:space="0" w:color="000000"/>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spacing w:lineRule="exact" w:line="300"/>
              <w:jc w:val="center"/>
              <w:rPr/>
            </w:pPr>
            <w:r>
              <w:rPr>
                <w:rFonts w:eastAsia="Times New Roman"/>
                <w:color w:val="000000"/>
              </w:rPr>
              <w:t>170</w:t>
            </w:r>
          </w:p>
        </w:tc>
        <w:tc>
          <w:tcPr>
            <w:tcW w:w="841"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203</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3</w:t>
            </w:r>
          </w:p>
        </w:tc>
        <w:tc>
          <w:tcPr>
            <w:tcW w:w="840"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lang w:val="sr-Latn-RS"/>
              </w:rPr>
              <w:t>1</w:t>
            </w:r>
            <w:r>
              <w:rPr>
                <w:rFonts w:eastAsia="Times New Roman"/>
                <w:color w:val="000000"/>
              </w:rPr>
              <w:t>4</w:t>
            </w:r>
          </w:p>
        </w:tc>
        <w:tc>
          <w:tcPr>
            <w:tcW w:w="837"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23</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27</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0</w:t>
            </w:r>
          </w:p>
        </w:tc>
        <w:tc>
          <w:tcPr>
            <w:tcW w:w="994" w:type="dxa"/>
            <w:tcBorders>
              <w:bottom w:val="single" w:sz="8" w:space="0" w:color="000000"/>
              <w:right w:val="single" w:sz="8" w:space="0" w:color="000000"/>
            </w:tcBorders>
            <w:shd w:color="auto" w:fill="auto" w:val="clear"/>
            <w:tcMar>
              <w:left w:w="10" w:type="dxa"/>
              <w:right w:w="10" w:type="dxa"/>
            </w:tcMar>
          </w:tcPr>
          <w:p>
            <w:pPr>
              <w:pStyle w:val="Normal"/>
              <w:spacing w:lineRule="exact" w:line="300"/>
              <w:jc w:val="center"/>
              <w:rPr>
                <w:rFonts w:eastAsia="Times New Roman"/>
                <w:color w:val="000000"/>
              </w:rPr>
            </w:pPr>
            <w:r>
              <w:rPr>
                <w:rFonts w:eastAsia="Times New Roman"/>
                <w:color w:val="000000"/>
              </w:rPr>
              <w:t>0</w:t>
            </w:r>
          </w:p>
        </w:tc>
      </w:tr>
      <w:tr>
        <w:trPr>
          <w:trHeight w:val="291" w:hRule="atLeast"/>
        </w:trPr>
        <w:tc>
          <w:tcPr>
            <w:tcW w:w="1676" w:type="dxa"/>
            <w:tcBorders>
              <w:left w:val="single" w:sz="8" w:space="0" w:color="000000"/>
              <w:bottom w:val="single" w:sz="8" w:space="0" w:color="000000"/>
              <w:right w:val="single" w:sz="8" w:space="0" w:color="000000"/>
            </w:tcBorders>
            <w:shd w:color="auto" w:fill="auto" w:val="clear"/>
            <w:vAlign w:val="center"/>
          </w:tcPr>
          <w:p>
            <w:pPr>
              <w:pStyle w:val="Normal"/>
              <w:spacing w:lineRule="exact" w:line="300"/>
              <w:rPr>
                <w:rFonts w:eastAsia="Times New Roman"/>
                <w:color w:val="000000"/>
                <w:lang w:val="ru-RU"/>
              </w:rPr>
            </w:pPr>
            <w:r>
              <w:rPr>
                <w:rFonts w:eastAsia="Times New Roman"/>
                <w:color w:val="000000"/>
                <w:lang w:val="ru-RU"/>
              </w:rPr>
              <w:t>Жене</w:t>
            </w:r>
          </w:p>
        </w:tc>
        <w:tc>
          <w:tcPr>
            <w:tcW w:w="759"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lang w:val="sr-Latn-RS"/>
              </w:rPr>
              <w:t>1</w:t>
            </w:r>
            <w:r>
              <w:rPr>
                <w:rFonts w:eastAsia="Times New Roman"/>
                <w:color w:val="000000"/>
              </w:rPr>
              <w:t>56</w:t>
            </w:r>
          </w:p>
        </w:tc>
        <w:tc>
          <w:tcPr>
            <w:tcW w:w="832" w:type="dxa"/>
            <w:tcBorders>
              <w:top w:val="single" w:sz="8" w:space="0" w:color="000000"/>
              <w:bottom w:val="single" w:sz="8" w:space="0" w:color="000000"/>
              <w:right w:val="single" w:sz="4" w:space="0" w:color="000000"/>
            </w:tcBorders>
            <w:shd w:color="auto" w:fill="auto" w:val="clear"/>
            <w:vAlign w:val="center"/>
          </w:tcPr>
          <w:p>
            <w:pPr>
              <w:pStyle w:val="Normal"/>
              <w:spacing w:lineRule="exact" w:line="300"/>
              <w:jc w:val="center"/>
              <w:rPr/>
            </w:pPr>
            <w:r>
              <w:rPr>
                <w:rFonts w:eastAsia="Times New Roman"/>
                <w:color w:val="000000"/>
                <w:lang w:val="sr-Latn-RS"/>
              </w:rPr>
              <w:t>1</w:t>
            </w:r>
            <w:r>
              <w:rPr>
                <w:rFonts w:eastAsia="Times New Roman"/>
                <w:color w:val="000000"/>
              </w:rPr>
              <w:t>1</w:t>
            </w:r>
          </w:p>
        </w:tc>
        <w:tc>
          <w:tcPr>
            <w:tcW w:w="836" w:type="dxa"/>
            <w:tcBorders>
              <w:top w:val="single" w:sz="8" w:space="0" w:color="000000"/>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spacing w:lineRule="exact" w:line="300"/>
              <w:jc w:val="center"/>
              <w:rPr/>
            </w:pPr>
            <w:r>
              <w:rPr>
                <w:rFonts w:eastAsia="Times New Roman"/>
                <w:color w:val="000000"/>
              </w:rPr>
              <w:t>98</w:t>
            </w:r>
          </w:p>
        </w:tc>
        <w:tc>
          <w:tcPr>
            <w:tcW w:w="841"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121</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1</w:t>
            </w:r>
          </w:p>
        </w:tc>
        <w:tc>
          <w:tcPr>
            <w:tcW w:w="840"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rPr>
              <w:t>10</w:t>
            </w:r>
          </w:p>
        </w:tc>
        <w:tc>
          <w:tcPr>
            <w:tcW w:w="837"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16</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pPr>
            <w:r>
              <w:rPr>
                <w:rFonts w:eastAsia="Times New Roman"/>
                <w:color w:val="000000"/>
                <w:lang w:val="sr-Latn-RS"/>
              </w:rPr>
              <w:t>1</w:t>
            </w:r>
            <w:r>
              <w:rPr>
                <w:rFonts w:eastAsia="Times New Roman"/>
                <w:color w:val="000000"/>
              </w:rPr>
              <w:t>8</w:t>
            </w:r>
          </w:p>
        </w:tc>
        <w:tc>
          <w:tcPr>
            <w:tcW w:w="836" w:type="dxa"/>
            <w:tcBorders>
              <w:bottom w:val="single" w:sz="8" w:space="0" w:color="000000"/>
              <w:right w:val="single" w:sz="8" w:space="0" w:color="000000"/>
            </w:tcBorders>
            <w:shd w:color="auto" w:fill="auto" w:val="clear"/>
            <w:vAlign w:val="center"/>
          </w:tcPr>
          <w:p>
            <w:pPr>
              <w:pStyle w:val="Normal"/>
              <w:spacing w:lineRule="exact" w:line="300"/>
              <w:jc w:val="center"/>
              <w:rPr>
                <w:rFonts w:eastAsia="Times New Roman"/>
                <w:color w:val="000000"/>
              </w:rPr>
            </w:pPr>
            <w:r>
              <w:rPr>
                <w:rFonts w:eastAsia="Times New Roman"/>
                <w:color w:val="000000"/>
              </w:rPr>
              <w:t>0</w:t>
            </w:r>
          </w:p>
        </w:tc>
        <w:tc>
          <w:tcPr>
            <w:tcW w:w="994" w:type="dxa"/>
            <w:tcBorders>
              <w:bottom w:val="single" w:sz="8" w:space="0" w:color="000000"/>
              <w:right w:val="single" w:sz="8" w:space="0" w:color="000000"/>
            </w:tcBorders>
            <w:shd w:color="auto" w:fill="auto" w:val="clear"/>
            <w:tcMar>
              <w:left w:w="10" w:type="dxa"/>
              <w:right w:w="10" w:type="dxa"/>
            </w:tcMar>
          </w:tcPr>
          <w:p>
            <w:pPr>
              <w:pStyle w:val="Normal"/>
              <w:spacing w:lineRule="exact" w:line="300"/>
              <w:jc w:val="center"/>
              <w:rPr>
                <w:rFonts w:eastAsia="Times New Roman"/>
                <w:color w:val="000000"/>
              </w:rPr>
            </w:pPr>
            <w:r>
              <w:rPr>
                <w:rFonts w:eastAsia="Times New Roman"/>
                <w:color w:val="000000"/>
              </w:rPr>
              <w:t>0</w:t>
            </w:r>
          </w:p>
        </w:tc>
      </w:tr>
    </w:tbl>
    <w:p>
      <w:pPr>
        <w:pStyle w:val="Normal"/>
        <w:spacing w:lineRule="exact" w:line="300"/>
        <w:jc w:val="center"/>
        <w:rPr>
          <w:rFonts w:eastAsia="Times New Roman"/>
          <w:b/>
          <w:b/>
          <w:i/>
          <w:i/>
        </w:rPr>
      </w:pPr>
      <w:r>
        <w:rPr>
          <w:rFonts w:eastAsia="Times New Roman"/>
          <w:b/>
          <w:i/>
        </w:rPr>
      </w:r>
    </w:p>
    <w:p>
      <w:pPr>
        <w:pStyle w:val="Normal"/>
        <w:spacing w:lineRule="exact" w:line="300"/>
        <w:rPr>
          <w:rFonts w:eastAsia="Times New Roman"/>
        </w:rPr>
      </w:pPr>
      <w:r>
        <w:rPr>
          <w:rFonts w:eastAsia="Times New Roman"/>
        </w:rPr>
      </w:r>
    </w:p>
    <w:p>
      <w:pPr>
        <w:pStyle w:val="Normal"/>
        <w:tabs>
          <w:tab w:val="clear" w:pos="709"/>
          <w:tab w:val="left" w:pos="2640" w:leader="none"/>
        </w:tabs>
        <w:jc w:val="both"/>
        <w:rPr/>
      </w:pPr>
      <w:r>
        <w:rPr/>
        <w:t xml:space="preserve">Највећи удео у броју незапослених лица према степену стручне спрема имају лица са I степеном стручне спреме, укупно 257 лица.  Затим су ту лица са завршеном средњом школом у укупном броју од 230 лица, као и   170 лица са трећим степеном стручне спреме. </w:t>
      </w:r>
    </w:p>
    <w:p>
      <w:pPr>
        <w:pStyle w:val="Normal"/>
        <w:tabs>
          <w:tab w:val="clear" w:pos="709"/>
          <w:tab w:val="left" w:pos="2640" w:leader="none"/>
        </w:tabs>
        <w:jc w:val="both"/>
        <w:rPr/>
      </w:pPr>
      <w:r>
        <w:rPr/>
      </w:r>
    </w:p>
    <w:p>
      <w:pPr>
        <w:pStyle w:val="Normal"/>
        <w:tabs>
          <w:tab w:val="clear" w:pos="709"/>
          <w:tab w:val="left" w:pos="2640" w:leader="none"/>
        </w:tabs>
        <w:jc w:val="both"/>
        <w:rPr>
          <w:sz w:val="14"/>
        </w:rPr>
      </w:pPr>
      <w:r>
        <w:rPr>
          <w:sz w:val="14"/>
        </w:rPr>
      </w:r>
    </w:p>
    <w:p>
      <w:pPr>
        <w:pStyle w:val="Normal"/>
        <w:tabs>
          <w:tab w:val="clear" w:pos="709"/>
          <w:tab w:val="left" w:pos="2640" w:leader="none"/>
        </w:tabs>
        <w:jc w:val="center"/>
        <w:rPr>
          <w:b/>
          <w:b/>
          <w:i/>
          <w:i/>
        </w:rPr>
      </w:pPr>
      <w:r>
        <w:rPr>
          <w:b/>
          <w:i/>
        </w:rPr>
        <w:t xml:space="preserve">Незапослена лица према трајању незапослености и полу у општини Ћићевац </w:t>
      </w:r>
    </w:p>
    <w:p>
      <w:pPr>
        <w:pStyle w:val="Normal"/>
        <w:tabs>
          <w:tab w:val="clear" w:pos="709"/>
          <w:tab w:val="left" w:pos="2640" w:leader="none"/>
        </w:tabs>
        <w:jc w:val="center"/>
        <w:rPr/>
      </w:pPr>
      <w:r>
        <w:rPr>
          <w:b/>
          <w:i/>
        </w:rPr>
        <w:t>на крају децембра 2021. године</w:t>
      </w:r>
    </w:p>
    <w:tbl>
      <w:tblPr>
        <w:tblW w:w="9853" w:type="dxa"/>
        <w:jc w:val="left"/>
        <w:tblInd w:w="0" w:type="dxa"/>
        <w:tblCellMar>
          <w:top w:w="0" w:type="dxa"/>
          <w:left w:w="108" w:type="dxa"/>
          <w:bottom w:w="0" w:type="dxa"/>
          <w:right w:w="108" w:type="dxa"/>
        </w:tblCellMar>
        <w:tblLook w:firstRow="1" w:noVBand="1" w:lastRow="0" w:firstColumn="1" w:lastColumn="0" w:noHBand="0" w:val="04a0"/>
      </w:tblPr>
      <w:tblGrid>
        <w:gridCol w:w="2681"/>
        <w:gridCol w:w="2359"/>
        <w:gridCol w:w="2380"/>
        <w:gridCol w:w="2432"/>
      </w:tblGrid>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ЋИЋЕВАЦ</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жене</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мушкарци</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укупно</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До 3 месеца</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42</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43</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85</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3-6</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34</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20</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54</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6-9</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32</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20</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52</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9-12</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45</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48</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93</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1-2 године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63</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41</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104</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2-3 године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54</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22</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76</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3-5 године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51</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26</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77</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5-8 године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39</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19</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58</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8-10 година</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15</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14</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29</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Преко 10 година</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56</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28</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84</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sz w:val="22"/>
                <w:szCs w:val="22"/>
              </w:rPr>
            </w:pPr>
            <w:r>
              <w:rPr/>
              <w:t>УКУПНО</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431</w:t>
            </w:r>
          </w:p>
        </w:tc>
        <w:tc>
          <w:tcPr>
            <w:tcW w:w="23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281</w:t>
            </w:r>
          </w:p>
        </w:tc>
        <w:tc>
          <w:tcPr>
            <w:tcW w:w="243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center"/>
              <w:rPr/>
            </w:pPr>
            <w:r>
              <w:rPr/>
              <w:t>712</w:t>
            </w:r>
          </w:p>
        </w:tc>
      </w:tr>
    </w:tbl>
    <w:p>
      <w:pPr>
        <w:pStyle w:val="Normal"/>
        <w:tabs>
          <w:tab w:val="clear" w:pos="709"/>
          <w:tab w:val="left" w:pos="2640" w:leader="none"/>
        </w:tabs>
        <w:jc w:val="center"/>
        <w:rPr/>
      </w:pPr>
      <w:r>
        <w:rPr/>
      </w:r>
    </w:p>
    <w:p>
      <w:pPr>
        <w:pStyle w:val="Normal"/>
        <w:tabs>
          <w:tab w:val="clear" w:pos="709"/>
          <w:tab w:val="left" w:pos="2640" w:leader="none"/>
        </w:tabs>
        <w:jc w:val="both"/>
        <w:rPr/>
      </w:pPr>
      <w:r>
        <w:rPr/>
        <w:t>Највећи број лица налази се на евиденцији незапослених од 1-2 године, укупно 104 лица. Укупан број лица која траже запослење мање од 1 године износи 284 лица, што је неких 40% од укупног броја незапослених.</w:t>
      </w:r>
    </w:p>
    <w:p>
      <w:pPr>
        <w:pStyle w:val="Normal"/>
        <w:tabs>
          <w:tab w:val="clear" w:pos="709"/>
          <w:tab w:val="left" w:pos="2700" w:leader="none"/>
        </w:tabs>
        <w:jc w:val="center"/>
        <w:rPr>
          <w:b/>
          <w:b/>
          <w:i/>
          <w:i/>
        </w:rPr>
      </w:pPr>
      <w:r>
        <w:rPr>
          <w:b/>
          <w:i/>
        </w:rPr>
      </w:r>
    </w:p>
    <w:p>
      <w:pPr>
        <w:pStyle w:val="Normal"/>
        <w:tabs>
          <w:tab w:val="clear" w:pos="709"/>
          <w:tab w:val="left" w:pos="2700" w:leader="none"/>
        </w:tabs>
        <w:jc w:val="center"/>
        <w:rPr/>
      </w:pPr>
      <w:r>
        <w:rPr>
          <w:b/>
          <w:i/>
        </w:rPr>
        <w:t>Новопријављени по месецима  у 2020. и 2021. години</w:t>
      </w:r>
    </w:p>
    <w:p>
      <w:pPr>
        <w:pStyle w:val="Normal"/>
        <w:tabs>
          <w:tab w:val="clear" w:pos="709"/>
          <w:tab w:val="left" w:pos="2700" w:leader="none"/>
        </w:tabs>
        <w:jc w:val="center"/>
        <w:rPr>
          <w:b/>
          <w:b/>
          <w:i/>
          <w:i/>
        </w:rPr>
      </w:pPr>
      <w:r>
        <w:rPr>
          <w:b/>
          <w:i/>
        </w:rPr>
      </w:r>
    </w:p>
    <w:tbl>
      <w:tblPr>
        <w:tblW w:w="9853" w:type="dxa"/>
        <w:jc w:val="left"/>
        <w:tblInd w:w="0" w:type="dxa"/>
        <w:tblCellMar>
          <w:top w:w="0" w:type="dxa"/>
          <w:left w:w="108" w:type="dxa"/>
          <w:bottom w:w="0" w:type="dxa"/>
          <w:right w:w="108" w:type="dxa"/>
        </w:tblCellMar>
        <w:tblLook w:firstRow="1" w:noVBand="1" w:lastRow="0" w:firstColumn="1" w:lastColumn="0" w:noHBand="0" w:val="04a0"/>
      </w:tblPr>
      <w:tblGrid>
        <w:gridCol w:w="2412"/>
        <w:gridCol w:w="2418"/>
        <w:gridCol w:w="2420"/>
        <w:gridCol w:w="1"/>
        <w:gridCol w:w="2601"/>
      </w:tblGrid>
      <w:tr>
        <w:trPr/>
        <w:tc>
          <w:tcPr>
            <w:tcW w:w="24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Назив општине</w:t>
            </w:r>
          </w:p>
        </w:tc>
        <w:tc>
          <w:tcPr>
            <w:tcW w:w="4839" w:type="dxa"/>
            <w:gridSpan w:val="3"/>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r>
          </w:p>
          <w:p>
            <w:pPr>
              <w:pStyle w:val="Normal"/>
              <w:tabs>
                <w:tab w:val="clear" w:pos="709"/>
                <w:tab w:val="left" w:pos="2700" w:leader="none"/>
              </w:tabs>
              <w:jc w:val="center"/>
              <w:rPr/>
            </w:pPr>
            <w:r>
              <w:rPr/>
              <w:t>2020.</w:t>
            </w:r>
          </w:p>
        </w:tc>
        <w:tc>
          <w:tcPr>
            <w:tcW w:w="260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r>
          </w:p>
          <w:p>
            <w:pPr>
              <w:pStyle w:val="Normal"/>
              <w:tabs>
                <w:tab w:val="clear" w:pos="709"/>
                <w:tab w:val="left" w:pos="2700" w:leader="none"/>
              </w:tabs>
              <w:jc w:val="center"/>
              <w:rPr/>
            </w:pPr>
            <w:r>
              <w:rPr/>
              <w:t xml:space="preserve">2021. </w:t>
            </w:r>
          </w:p>
        </w:tc>
      </w:tr>
      <w:tr>
        <w:trPr/>
        <w:tc>
          <w:tcPr>
            <w:tcW w:w="241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Ћићевац</w:t>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56</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101</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II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76</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53</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III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43</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93</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IV</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14</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88</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V</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49</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36</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VI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58</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35</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VII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49</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45</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VIII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44</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37</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IX</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102</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37</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X</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45</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46</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XI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40</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28</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XII</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pPr>
            <w:r>
              <w:rPr/>
              <w:t>35</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41</w:t>
            </w:r>
          </w:p>
        </w:tc>
      </w:tr>
      <w:tr>
        <w:trPr/>
        <w:tc>
          <w:tcPr>
            <w:tcW w:w="24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просек</w:t>
            </w:r>
          </w:p>
        </w:tc>
        <w:tc>
          <w:tcPr>
            <w:tcW w:w="2420" w:type="dxa"/>
            <w:tcBorders>
              <w:top w:val="single" w:sz="4" w:space="0" w:color="000000"/>
              <w:left w:val="single" w:sz="4" w:space="0" w:color="000000"/>
              <w:bottom w:val="single" w:sz="4" w:space="0" w:color="000000"/>
            </w:tcBorders>
            <w:shd w:color="auto" w:fill="auto" w:val="clear"/>
          </w:tcPr>
          <w:p>
            <w:pPr>
              <w:pStyle w:val="Normal"/>
              <w:tabs>
                <w:tab w:val="clear" w:pos="709"/>
                <w:tab w:val="left" w:pos="2700" w:leader="none"/>
              </w:tabs>
              <w:jc w:val="center"/>
              <w:rPr>
                <w:b/>
                <w:b/>
              </w:rPr>
            </w:pPr>
            <w:r>
              <w:rPr>
                <w:b/>
              </w:rPr>
              <w:t>51</w:t>
            </w:r>
          </w:p>
        </w:tc>
        <w:tc>
          <w:tcPr>
            <w:tcW w:w="2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700" w:leader="none"/>
              </w:tabs>
              <w:jc w:val="center"/>
              <w:rPr/>
            </w:pPr>
            <w:r>
              <w:rPr/>
              <w:t>53</w:t>
            </w:r>
          </w:p>
        </w:tc>
      </w:tr>
    </w:tbl>
    <w:p>
      <w:pPr>
        <w:pStyle w:val="Normal"/>
        <w:tabs>
          <w:tab w:val="clear" w:pos="709"/>
          <w:tab w:val="left" w:pos="2700" w:leader="none"/>
        </w:tabs>
        <w:jc w:val="center"/>
        <w:rPr/>
      </w:pPr>
      <w:r>
        <w:rPr/>
      </w:r>
    </w:p>
    <w:p>
      <w:pPr>
        <w:pStyle w:val="Normal"/>
        <w:tabs>
          <w:tab w:val="clear" w:pos="709"/>
          <w:tab w:val="left" w:pos="2700" w:leader="none"/>
        </w:tabs>
        <w:jc w:val="both"/>
        <w:rPr/>
      </w:pPr>
      <w:r>
        <w:rPr/>
        <w:t>На основу табеле може се закључити да је просек новопријављених  у 2021. години био већи у односу на 2020. годину. Највећи број новопријављених био је у јануару  месецу, а најмањи у новембру.</w:t>
      </w:r>
    </w:p>
    <w:p>
      <w:pPr>
        <w:pStyle w:val="Normal"/>
        <w:tabs>
          <w:tab w:val="clear" w:pos="709"/>
          <w:tab w:val="left" w:pos="2700" w:leader="none"/>
        </w:tabs>
        <w:jc w:val="both"/>
        <w:rPr>
          <w:b/>
          <w:b/>
        </w:rPr>
      </w:pPr>
      <w:r>
        <w:rPr>
          <w:b/>
        </w:rPr>
        <w:t xml:space="preserve">        </w:t>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b/>
          <w:b/>
        </w:rPr>
      </w:pPr>
      <w:r>
        <w:rPr>
          <w:b/>
        </w:rPr>
      </w:r>
    </w:p>
    <w:p>
      <w:pPr>
        <w:pStyle w:val="Normal"/>
        <w:tabs>
          <w:tab w:val="clear" w:pos="709"/>
          <w:tab w:val="left" w:pos="2700" w:leader="none"/>
        </w:tabs>
        <w:jc w:val="both"/>
        <w:rPr/>
      </w:pPr>
      <w:r>
        <w:rPr>
          <w:b/>
        </w:rPr>
        <w:t>3.3. Категорије теже запошљивих лица</w:t>
      </w:r>
    </w:p>
    <w:p>
      <w:pPr>
        <w:pStyle w:val="Normal"/>
        <w:tabs>
          <w:tab w:val="clear" w:pos="709"/>
          <w:tab w:val="left" w:pos="2700" w:leader="none"/>
        </w:tabs>
        <w:jc w:val="both"/>
        <w:rPr/>
      </w:pPr>
      <w:r>
        <w:rPr/>
      </w:r>
    </w:p>
    <w:p>
      <w:pPr>
        <w:pStyle w:val="Normal"/>
        <w:ind w:firstLine="708"/>
        <w:jc w:val="both"/>
        <w:rPr/>
      </w:pPr>
      <w:r>
        <w:rPr/>
        <w:t xml:space="preserve">                  </w:t>
      </w:r>
      <w:r>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програмима и мерама активне политике запошљавања подстиче се равноправнији положај ових лица на тржишту рада.</w:t>
      </w:r>
    </w:p>
    <w:p>
      <w:pPr>
        <w:pStyle w:val="Normal"/>
        <w:ind w:firstLine="708"/>
        <w:jc w:val="both"/>
        <w:rPr/>
      </w:pPr>
      <w:r>
        <w:rPr/>
        <w:t>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w:t>
      </w:r>
    </w:p>
    <w:p>
      <w:pPr>
        <w:pStyle w:val="Normal"/>
        <w:shd w:val="clear" w:color="auto" w:fill="FFFFFF"/>
        <w:ind w:firstLine="720"/>
        <w:jc w:val="both"/>
        <w:rPr>
          <w:b/>
          <w:b/>
        </w:rPr>
      </w:pPr>
      <w:r>
        <w:rPr>
          <w:b/>
        </w:rPr>
      </w:r>
    </w:p>
    <w:p>
      <w:pPr>
        <w:pStyle w:val="Normal"/>
        <w:shd w:val="clear" w:color="auto" w:fill="FFFFFF"/>
        <w:ind w:firstLine="720"/>
        <w:jc w:val="both"/>
        <w:rPr/>
      </w:pPr>
      <w:bookmarkStart w:id="1" w:name="_GoBack2"/>
      <w:bookmarkEnd w:id="1"/>
      <w:r>
        <w:rPr/>
        <w:t xml:space="preserve">У оквиру појединих мера </w:t>
      </w:r>
      <w:r>
        <w:rPr>
          <w:rFonts w:eastAsia="Times New Roman"/>
          <w:color w:val="000000"/>
        </w:rPr>
        <w:t>активне политике запошљавања</w:t>
      </w:r>
      <w:r>
        <w:rPr/>
        <w:t xml:space="preserve">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 </w:t>
      </w:r>
    </w:p>
    <w:p>
      <w:pPr>
        <w:pStyle w:val="Normal"/>
        <w:shd w:val="clear" w:color="auto" w:fill="FFFFFF"/>
        <w:ind w:firstLine="714"/>
        <w:jc w:val="both"/>
        <w:rPr/>
      </w:pPr>
      <w:r>
        <w:rPr>
          <w:i/>
          <w:lang w:val="sr-Latn-RS"/>
        </w:rPr>
        <w:t xml:space="preserve">- </w:t>
      </w:r>
      <w:r>
        <w:rPr>
          <w:i/>
        </w:rPr>
        <w:t>лица без основног образовања</w:t>
      </w:r>
      <w:r>
        <w:rPr>
          <w:i/>
          <w:lang w:val="sr-Latn-RS"/>
        </w:rPr>
        <w:t>;</w:t>
      </w:r>
    </w:p>
    <w:p>
      <w:pPr>
        <w:pStyle w:val="Normal"/>
        <w:shd w:val="clear" w:color="auto" w:fill="FFFFFF"/>
        <w:ind w:firstLine="714"/>
        <w:jc w:val="both"/>
        <w:rPr>
          <w:i/>
          <w:i/>
        </w:rPr>
      </w:pPr>
      <w:r>
        <w:rPr>
          <w:i/>
        </w:rPr>
        <w:t xml:space="preserve">- лица без завршене средње школе; </w:t>
      </w:r>
    </w:p>
    <w:p>
      <w:pPr>
        <w:pStyle w:val="Normal"/>
        <w:shd w:val="clear" w:color="auto" w:fill="FFFFFF"/>
        <w:ind w:firstLine="714"/>
        <w:jc w:val="both"/>
        <w:rPr>
          <w:i/>
          <w:i/>
        </w:rPr>
      </w:pPr>
      <w:r>
        <w:rPr>
          <w:i/>
        </w:rPr>
        <w:t>- лица старости 50 и више година;</w:t>
      </w:r>
    </w:p>
    <w:p>
      <w:pPr>
        <w:pStyle w:val="Normal"/>
        <w:shd w:val="clear" w:color="auto" w:fill="FFFFFF"/>
        <w:ind w:firstLine="714"/>
        <w:jc w:val="both"/>
        <w:rPr>
          <w:i/>
          <w:i/>
        </w:rPr>
      </w:pPr>
      <w:r>
        <w:rPr>
          <w:i/>
        </w:rPr>
        <w:t>- дугорочно незапослена лица која посао траже дуже од 12 месеци, а посебно незапослена лица која посао траже дуже од 18 месеци;</w:t>
      </w:r>
    </w:p>
    <w:p>
      <w:pPr>
        <w:pStyle w:val="Normal"/>
        <w:shd w:val="clear" w:color="auto" w:fill="FFFFFF"/>
        <w:ind w:firstLine="714"/>
        <w:jc w:val="both"/>
        <w:rPr>
          <w:i/>
          <w:i/>
        </w:rPr>
      </w:pPr>
      <w:r>
        <w:rPr>
          <w:i/>
        </w:rPr>
        <w:t>- жене, посебно дугорочно незапослене жене;</w:t>
      </w:r>
    </w:p>
    <w:p>
      <w:pPr>
        <w:pStyle w:val="Normal"/>
        <w:shd w:val="clear" w:color="auto" w:fill="FFFFFF"/>
        <w:ind w:firstLine="714"/>
        <w:jc w:val="both"/>
        <w:rPr>
          <w:i/>
          <w:i/>
        </w:rPr>
      </w:pPr>
      <w:r>
        <w:rPr>
          <w:i/>
        </w:rPr>
        <w:t xml:space="preserve">- млади до 30 година старости, а посебно младе жене, млади без завршене средње школе, као и млади без радног искуства; </w:t>
      </w:r>
    </w:p>
    <w:p>
      <w:pPr>
        <w:pStyle w:val="Normal"/>
        <w:shd w:val="clear" w:color="auto" w:fill="FFFFFF"/>
        <w:ind w:firstLine="714"/>
        <w:jc w:val="both"/>
        <w:rPr>
          <w:i/>
          <w:i/>
        </w:rPr>
      </w:pPr>
      <w:r>
        <w:rPr>
          <w:i/>
        </w:rPr>
        <w:t xml:space="preserve">- особе са инвалидитетом; </w:t>
      </w:r>
    </w:p>
    <w:p>
      <w:pPr>
        <w:pStyle w:val="Normal"/>
        <w:shd w:val="clear" w:color="auto" w:fill="FFFFFF"/>
        <w:ind w:firstLine="714"/>
        <w:jc w:val="both"/>
        <w:rPr>
          <w:i/>
          <w:i/>
        </w:rPr>
      </w:pPr>
      <w:r>
        <w:rPr>
          <w:i/>
        </w:rPr>
        <w:t xml:space="preserve">- Роми; </w:t>
      </w:r>
    </w:p>
    <w:p>
      <w:pPr>
        <w:pStyle w:val="Normal"/>
        <w:shd w:val="clear" w:color="auto" w:fill="FFFFFF"/>
        <w:ind w:firstLine="714"/>
        <w:jc w:val="both"/>
        <w:rPr>
          <w:i/>
          <w:i/>
        </w:rPr>
      </w:pPr>
      <w:r>
        <w:rPr>
          <w:i/>
        </w:rPr>
        <w:t>- корисници новчане социјалне помоћи и</w:t>
      </w:r>
    </w:p>
    <w:p>
      <w:pPr>
        <w:pStyle w:val="Normal"/>
        <w:shd w:val="clear" w:color="auto" w:fill="FFFFFF"/>
        <w:ind w:firstLine="714"/>
        <w:jc w:val="both"/>
        <w:rPr>
          <w:i/>
          <w:i/>
        </w:rPr>
      </w:pPr>
      <w:r>
        <w:rPr>
          <w:i/>
        </w:rPr>
        <w:t>- лица у статусу вишка запослених.</w:t>
      </w:r>
    </w:p>
    <w:p>
      <w:pPr>
        <w:pStyle w:val="Normal"/>
        <w:shd w:val="clear" w:color="auto" w:fill="FFFFFF"/>
        <w:ind w:firstLine="720"/>
        <w:jc w:val="both"/>
        <w:rPr/>
      </w:pPr>
      <w:r>
        <w:rPr/>
        <w:t xml:space="preserve">Такође, у мере </w:t>
      </w:r>
      <w:r>
        <w:rPr>
          <w:rFonts w:eastAsia="Times New Roman"/>
          <w:color w:val="000000"/>
        </w:rPr>
        <w:t>активне политике запошљавања</w:t>
      </w:r>
      <w:r>
        <w:rPr/>
        <w:t xml:space="preserve"> укључиваће се и незапослена лица из следећих теже запошљивих категорија: </w:t>
      </w:r>
    </w:p>
    <w:p>
      <w:pPr>
        <w:pStyle w:val="Normal"/>
        <w:numPr>
          <w:ilvl w:val="0"/>
          <w:numId w:val="6"/>
        </w:numPr>
        <w:shd w:val="clear" w:color="auto" w:fill="FFFFFF"/>
        <w:jc w:val="both"/>
        <w:rPr/>
      </w:pPr>
      <w:r>
        <w:rPr>
          <w:i/>
        </w:rPr>
        <w:t>млади у домском смештају, хранитељским и старатељским породицама</w:t>
      </w:r>
      <w:r>
        <w:rPr>
          <w:rStyle w:val="FootnoteAnchor"/>
          <w:i/>
        </w:rPr>
        <w:footnoteReference w:id="2"/>
      </w:r>
      <w:r>
        <w:rPr>
          <w:i/>
        </w:rPr>
        <w:t xml:space="preserve">, </w:t>
      </w:r>
    </w:p>
    <w:p>
      <w:pPr>
        <w:pStyle w:val="Normal"/>
        <w:numPr>
          <w:ilvl w:val="0"/>
          <w:numId w:val="6"/>
        </w:numPr>
        <w:shd w:val="clear" w:color="auto" w:fill="FFFFFF"/>
        <w:jc w:val="both"/>
        <w:rPr>
          <w:i/>
          <w:i/>
        </w:rPr>
      </w:pPr>
      <w:r>
        <w:rPr>
          <w:i/>
        </w:rPr>
        <w:t xml:space="preserve">жртве породичног насиља, </w:t>
      </w:r>
    </w:p>
    <w:p>
      <w:pPr>
        <w:pStyle w:val="Normal"/>
        <w:numPr>
          <w:ilvl w:val="0"/>
          <w:numId w:val="6"/>
        </w:numPr>
        <w:shd w:val="clear" w:color="auto" w:fill="FFFFFF"/>
        <w:jc w:val="both"/>
        <w:rPr>
          <w:i/>
          <w:i/>
        </w:rPr>
      </w:pPr>
      <w:r>
        <w:rPr>
          <w:i/>
        </w:rPr>
        <w:t xml:space="preserve">жртве трговине људима, </w:t>
      </w:r>
    </w:p>
    <w:p>
      <w:pPr>
        <w:pStyle w:val="Normal"/>
        <w:numPr>
          <w:ilvl w:val="0"/>
          <w:numId w:val="6"/>
        </w:numPr>
        <w:shd w:val="clear" w:color="auto" w:fill="FFFFFF"/>
        <w:jc w:val="both"/>
        <w:rPr>
          <w:i/>
          <w:i/>
        </w:rPr>
      </w:pPr>
      <w:r>
        <w:rPr>
          <w:i/>
        </w:rPr>
        <w:t xml:space="preserve">избегла и расељена лица, повратници према Споразуму о реадмисији, </w:t>
      </w:r>
    </w:p>
    <w:p>
      <w:pPr>
        <w:pStyle w:val="Normal"/>
        <w:numPr>
          <w:ilvl w:val="0"/>
          <w:numId w:val="6"/>
        </w:numPr>
        <w:shd w:val="clear" w:color="auto" w:fill="FFFFFF"/>
        <w:jc w:val="both"/>
        <w:rPr>
          <w:i/>
          <w:i/>
        </w:rPr>
      </w:pPr>
      <w:r>
        <w:rPr>
          <w:i/>
        </w:rPr>
        <w:t xml:space="preserve">самохрани родитељи, </w:t>
      </w:r>
    </w:p>
    <w:p>
      <w:pPr>
        <w:pStyle w:val="Normal"/>
        <w:numPr>
          <w:ilvl w:val="0"/>
          <w:numId w:val="6"/>
        </w:numPr>
        <w:shd w:val="clear" w:color="auto" w:fill="FFFFFF"/>
        <w:jc w:val="both"/>
        <w:rPr>
          <w:i/>
          <w:i/>
        </w:rPr>
      </w:pPr>
      <w:r>
        <w:rPr>
          <w:i/>
        </w:rPr>
        <w:t xml:space="preserve">супружници из породице у којој су оба супружника незапослена, </w:t>
      </w:r>
    </w:p>
    <w:p>
      <w:pPr>
        <w:pStyle w:val="Normal"/>
        <w:numPr>
          <w:ilvl w:val="0"/>
          <w:numId w:val="6"/>
        </w:numPr>
        <w:shd w:val="clear" w:color="auto" w:fill="FFFFFF"/>
        <w:jc w:val="both"/>
        <w:rPr/>
      </w:pPr>
      <w:r>
        <w:rPr>
          <w:i/>
        </w:rPr>
        <w:t xml:space="preserve">родитељи деце са сметњама у развоју и </w:t>
      </w:r>
    </w:p>
    <w:p>
      <w:pPr>
        <w:pStyle w:val="Normal"/>
        <w:numPr>
          <w:ilvl w:val="0"/>
          <w:numId w:val="6"/>
        </w:numPr>
        <w:shd w:val="clear" w:color="auto" w:fill="FFFFFF"/>
        <w:jc w:val="both"/>
        <w:rPr>
          <w:i/>
          <w:i/>
        </w:rPr>
      </w:pPr>
      <w:r>
        <w:rPr>
          <w:i/>
        </w:rPr>
        <w:t>бивши извршиоци кривичних дела.</w:t>
      </w:r>
    </w:p>
    <w:p>
      <w:pPr>
        <w:pStyle w:val="Normal"/>
        <w:shd w:val="clear" w:color="auto" w:fill="FFFFFF"/>
        <w:ind w:firstLine="720"/>
        <w:jc w:val="both"/>
        <w:rPr/>
      </w:pPr>
      <w:r>
        <w:rPr/>
        <w:t xml:space="preserve">Посебан приоритет за укључивање у мере </w:t>
      </w:r>
      <w:r>
        <w:rPr>
          <w:rFonts w:eastAsia="Times New Roman"/>
          <w:color w:val="000000"/>
        </w:rPr>
        <w:t>активне политике запошљавања</w:t>
      </w:r>
      <w:r>
        <w:rPr/>
        <w:t xml:space="preserve">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pPr>
        <w:pStyle w:val="Normal"/>
        <w:shd w:val="clear" w:color="auto" w:fill="FFFFFF"/>
        <w:ind w:firstLine="720"/>
        <w:jc w:val="both"/>
        <w:rPr>
          <w:b/>
          <w:b/>
          <w:bCs/>
        </w:rPr>
      </w:pPr>
      <w:r>
        <w:rPr>
          <w:b/>
          <w:bCs/>
        </w:rPr>
      </w:r>
    </w:p>
    <w:p>
      <w:pPr>
        <w:pStyle w:val="Normal"/>
        <w:shd w:val="clear" w:color="auto" w:fill="FFFFFF"/>
        <w:ind w:firstLine="720"/>
        <w:jc w:val="both"/>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lang w:val="ru-RU"/>
        </w:rPr>
      </w:pPr>
      <w:r>
        <w:rPr>
          <w:b/>
          <w:lang w:val="ru-RU"/>
        </w:rPr>
      </w:r>
    </w:p>
    <w:p>
      <w:pPr>
        <w:pStyle w:val="Normal"/>
        <w:tabs>
          <w:tab w:val="clear" w:pos="709"/>
          <w:tab w:val="left" w:pos="2640" w:leader="none"/>
        </w:tabs>
        <w:rPr>
          <w:b/>
          <w:b/>
        </w:rPr>
      </w:pPr>
      <w:r>
        <w:rPr>
          <w:b/>
        </w:rPr>
      </w:r>
    </w:p>
    <w:p>
      <w:pPr>
        <w:pStyle w:val="Normal"/>
        <w:ind w:firstLine="708"/>
        <w:jc w:val="center"/>
        <w:rPr>
          <w:b/>
          <w:b/>
        </w:rPr>
      </w:pPr>
      <w:r>
        <w:rPr>
          <w:b/>
        </w:rPr>
      </w:r>
    </w:p>
    <w:p>
      <w:pPr>
        <w:pStyle w:val="Normal"/>
        <w:jc w:val="both"/>
        <w:rPr>
          <w:highlight w:val="yellow"/>
        </w:rPr>
      </w:pPr>
      <w:r>
        <w:rPr>
          <w:highlight w:val="yellow"/>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center"/>
        <w:rPr/>
      </w:pPr>
      <w:r>
        <w:rPr>
          <w:b/>
          <w:bCs/>
        </w:rPr>
        <w:t>4. МЕРЕ АКТИВНЕ ПОЛИТИКЕ ЗАПОШЉАВАЊА ОПШТИНЕ ЋИЋЕВАЦ У 2022. И 2023. ГОДИНИ</w:t>
      </w:r>
    </w:p>
    <w:p>
      <w:pPr>
        <w:pStyle w:val="Normal"/>
        <w:spacing w:before="0" w:after="0"/>
        <w:ind w:firstLine="720"/>
        <w:contextualSpacing/>
        <w:jc w:val="center"/>
        <w:rPr/>
      </w:pPr>
      <w:r>
        <w:rPr/>
      </w:r>
    </w:p>
    <w:p>
      <w:pPr>
        <w:pStyle w:val="Normal"/>
        <w:ind w:left="1068" w:hanging="0"/>
        <w:rPr/>
      </w:pPr>
      <w:r>
        <w:rPr>
          <w:rFonts w:eastAsia="Arial Unicode MS" w:cs="Times New Roman"/>
          <w:b/>
          <w:bCs/>
          <w:color w:val="auto"/>
          <w:kern w:val="2"/>
          <w:sz w:val="24"/>
          <w:szCs w:val="24"/>
          <w:lang w:val="en-US" w:eastAsia="en-US" w:bidi="ar-SA"/>
        </w:rPr>
        <w:t>4</w:t>
      </w:r>
      <w:r>
        <w:rPr>
          <w:b/>
          <w:bCs/>
        </w:rPr>
        <w:t xml:space="preserve">.1. </w:t>
      </w:r>
      <w:r>
        <w:rPr>
          <w:b/>
        </w:rPr>
        <w:t>Циљеви и приоритети</w:t>
      </w:r>
    </w:p>
    <w:p>
      <w:pPr>
        <w:pStyle w:val="Normal"/>
        <w:jc w:val="center"/>
        <w:rPr/>
      </w:pPr>
      <w:r>
        <w:rPr/>
        <w:t xml:space="preserve"> </w:t>
      </w:r>
    </w:p>
    <w:p>
      <w:pPr>
        <w:pStyle w:val="Normal"/>
        <w:jc w:val="both"/>
        <w:rPr/>
      </w:pPr>
      <w:r>
        <w:rPr/>
        <w:tab/>
        <w:t>Циљеви и приоритети политике запошљавања  на територији општине Ћићевац за 20</w:t>
      </w:r>
      <w:r>
        <w:rPr>
          <w:lang w:val="sr-Latn-RS"/>
        </w:rPr>
        <w:t>2</w:t>
      </w:r>
      <w:r>
        <w:rPr/>
        <w:t xml:space="preserve">2. и 2023. годину су: </w:t>
      </w:r>
    </w:p>
    <w:p>
      <w:pPr>
        <w:pStyle w:val="Normal"/>
        <w:widowControl/>
        <w:numPr>
          <w:ilvl w:val="0"/>
          <w:numId w:val="1"/>
        </w:numPr>
        <w:suppressAutoHyphens w:val="false"/>
        <w:jc w:val="both"/>
        <w:rPr/>
      </w:pPr>
      <w:r>
        <w:rPr/>
        <w:t>одржање или повећање запослености и смањење незапослености;</w:t>
      </w:r>
    </w:p>
    <w:p>
      <w:pPr>
        <w:pStyle w:val="Normal"/>
        <w:widowControl/>
        <w:numPr>
          <w:ilvl w:val="0"/>
          <w:numId w:val="1"/>
        </w:numPr>
        <w:suppressAutoHyphens w:val="false"/>
        <w:jc w:val="both"/>
        <w:rPr/>
      </w:pPr>
      <w:r>
        <w:rPr/>
        <w:t xml:space="preserve">улагање у људски капитал; </w:t>
      </w:r>
    </w:p>
    <w:p>
      <w:pPr>
        <w:pStyle w:val="Normal"/>
        <w:widowControl/>
        <w:numPr>
          <w:ilvl w:val="0"/>
          <w:numId w:val="1"/>
        </w:numPr>
        <w:suppressAutoHyphens w:val="false"/>
        <w:jc w:val="both"/>
        <w:rPr/>
      </w:pPr>
      <w:r>
        <w:rPr/>
        <w:t>подршка помоћи незапосленим лицима у активном тражењу посла;</w:t>
      </w:r>
    </w:p>
    <w:p>
      <w:pPr>
        <w:pStyle w:val="Normal"/>
        <w:widowControl/>
        <w:numPr>
          <w:ilvl w:val="0"/>
          <w:numId w:val="1"/>
        </w:numPr>
        <w:suppressAutoHyphens w:val="false"/>
        <w:jc w:val="both"/>
        <w:rPr/>
      </w:pPr>
      <w:r>
        <w:rPr/>
        <w:t>активан приступ општине у области запошљавања;</w:t>
      </w:r>
    </w:p>
    <w:p>
      <w:pPr>
        <w:pStyle w:val="Normal"/>
        <w:widowControl/>
        <w:numPr>
          <w:ilvl w:val="0"/>
          <w:numId w:val="1"/>
        </w:numPr>
        <w:suppressAutoHyphens w:val="false"/>
        <w:spacing w:before="0" w:after="0"/>
        <w:ind w:firstLine="720"/>
        <w:contextualSpacing/>
        <w:jc w:val="both"/>
        <w:rPr/>
      </w:pPr>
      <w:r>
        <w:rPr/>
        <w:t>спровођење мера из акционог плана и јачање улоге Локалног савета за запошљавање.</w:t>
      </w:r>
    </w:p>
    <w:p>
      <w:pPr>
        <w:pStyle w:val="Normal"/>
        <w:widowControl/>
        <w:suppressAutoHyphens w:val="false"/>
        <w:spacing w:before="0" w:after="0"/>
        <w:ind w:left="1065" w:hanging="0"/>
        <w:contextualSpacing/>
        <w:jc w:val="both"/>
        <w:rPr/>
      </w:pPr>
      <w:r>
        <w:rPr/>
      </w:r>
    </w:p>
    <w:p>
      <w:pPr>
        <w:pStyle w:val="Normal"/>
        <w:spacing w:before="0" w:after="0"/>
        <w:ind w:firstLine="720"/>
        <w:contextualSpacing/>
        <w:jc w:val="both"/>
        <w:rPr/>
      </w:pPr>
      <w:r>
        <w:rPr>
          <w:b/>
          <w:bCs/>
        </w:rPr>
        <w:t>4.2. Мере активне политике запошљавања</w:t>
      </w:r>
    </w:p>
    <w:p>
      <w:pPr>
        <w:pStyle w:val="Normal"/>
        <w:spacing w:before="0" w:after="0"/>
        <w:ind w:firstLine="720"/>
        <w:contextualSpacing/>
        <w:jc w:val="center"/>
        <w:rPr/>
      </w:pPr>
      <w:r>
        <w:rPr/>
      </w:r>
    </w:p>
    <w:p>
      <w:pPr>
        <w:pStyle w:val="Normal"/>
        <w:ind w:firstLine="705"/>
        <w:jc w:val="both"/>
        <w:rPr/>
      </w:pPr>
      <w:r>
        <w:rPr/>
        <w:t>Анализом кључних проблема у општини Ћићевац, дефинисано је да се у 20</w:t>
      </w:r>
      <w:r>
        <w:rPr>
          <w:lang w:val="sr-Latn-RS"/>
        </w:rPr>
        <w:t>2</w:t>
      </w:r>
      <w:r>
        <w:rPr/>
        <w:t>2</w:t>
      </w:r>
      <w:r>
        <w:rPr>
          <w:lang w:val="sr-Latn-RS"/>
        </w:rPr>
        <w:t>.</w:t>
      </w:r>
      <w:r>
        <w:rPr/>
        <w:t xml:space="preserve"> и 2023. години, финансирају  следеће мере активне политике запошљавања:</w:t>
      </w:r>
    </w:p>
    <w:p>
      <w:pPr>
        <w:pStyle w:val="Normal"/>
        <w:widowControl/>
        <w:numPr>
          <w:ilvl w:val="0"/>
          <w:numId w:val="2"/>
        </w:numPr>
        <w:suppressAutoHyphens w:val="false"/>
        <w:jc w:val="both"/>
        <w:rPr/>
      </w:pPr>
      <w:r>
        <w:rPr>
          <w:color w:val="000000"/>
        </w:rPr>
        <w:t>Стручна пракса</w:t>
      </w:r>
    </w:p>
    <w:p>
      <w:pPr>
        <w:pStyle w:val="Normal"/>
        <w:widowControl/>
        <w:numPr>
          <w:ilvl w:val="0"/>
          <w:numId w:val="2"/>
        </w:numPr>
        <w:suppressAutoHyphens w:val="false"/>
        <w:jc w:val="both"/>
        <w:rPr/>
      </w:pPr>
      <w:r>
        <w:rPr>
          <w:color w:val="000000"/>
        </w:rPr>
        <w:t>Програм јавних радова</w:t>
      </w:r>
    </w:p>
    <w:p>
      <w:pPr>
        <w:pStyle w:val="Normal"/>
        <w:widowControl/>
        <w:numPr>
          <w:ilvl w:val="0"/>
          <w:numId w:val="2"/>
        </w:numPr>
        <w:suppressAutoHyphens w:val="false"/>
        <w:jc w:val="both"/>
        <w:rPr/>
      </w:pPr>
      <w:r>
        <w:rPr>
          <w:color w:val="000000"/>
        </w:rPr>
        <w:t>Субвенције за самозапошљавање</w:t>
      </w:r>
    </w:p>
    <w:p>
      <w:pPr>
        <w:pStyle w:val="Normal"/>
        <w:widowControl/>
        <w:suppressAutoHyphens w:val="false"/>
        <w:ind w:left="1065" w:hanging="0"/>
        <w:jc w:val="both"/>
        <w:rPr>
          <w:color w:val="000000"/>
        </w:rPr>
      </w:pPr>
      <w:r>
        <w:rPr>
          <w:color w:val="000000"/>
        </w:rPr>
      </w:r>
    </w:p>
    <w:p>
      <w:pPr>
        <w:pStyle w:val="Normal"/>
        <w:widowControl/>
        <w:suppressAutoHyphens w:val="false"/>
        <w:jc w:val="both"/>
        <w:rPr>
          <w:color w:val="000000"/>
        </w:rPr>
      </w:pPr>
      <w:r>
        <w:rPr>
          <w:color w:val="000000"/>
        </w:rPr>
      </w:r>
    </w:p>
    <w:p>
      <w:pPr>
        <w:pStyle w:val="Normal"/>
        <w:widowControl/>
        <w:suppressAutoHyphens w:val="false"/>
        <w:jc w:val="both"/>
        <w:rPr>
          <w:color w:val="C9211E"/>
        </w:rPr>
      </w:pPr>
      <w:r>
        <w:rPr>
          <w:color w:val="C9211E"/>
        </w:rPr>
      </w:r>
    </w:p>
    <w:p>
      <w:pPr>
        <w:pStyle w:val="Normal"/>
        <w:widowControl/>
        <w:suppressAutoHyphens w:val="false"/>
        <w:jc w:val="both"/>
        <w:rPr/>
      </w:pPr>
      <w:r>
        <w:rPr/>
        <w:t xml:space="preserve">Одлуком о буџету општине Ћићевац опредељено је  </w:t>
      </w:r>
      <w:r>
        <w:rPr>
          <w:lang w:val="sr-Latn-RS"/>
        </w:rPr>
        <w:t>1.900.000,00</w:t>
      </w:r>
      <w:r>
        <w:rPr/>
        <w:t xml:space="preserve"> динара за 2022. годину за реализацију наведених мера активне политике запошљавања. </w:t>
      </w:r>
    </w:p>
    <w:p>
      <w:pPr>
        <w:pStyle w:val="Normal"/>
        <w:tabs>
          <w:tab w:val="clear" w:pos="709"/>
          <w:tab w:val="left" w:pos="2640" w:leader="none"/>
        </w:tabs>
        <w:rPr/>
      </w:pPr>
      <w:r>
        <w:rPr/>
      </w:r>
    </w:p>
    <w:p>
      <w:pPr>
        <w:pStyle w:val="Normal"/>
        <w:tabs>
          <w:tab w:val="clear" w:pos="709"/>
          <w:tab w:val="left" w:pos="2640" w:leader="none"/>
        </w:tabs>
        <w:jc w:val="center"/>
        <w:rPr>
          <w:b/>
          <w:b/>
        </w:rPr>
      </w:pPr>
      <w:r>
        <w:rPr>
          <w:b/>
        </w:rPr>
        <w:t xml:space="preserve"> </w:t>
      </w:r>
    </w:p>
    <w:p>
      <w:pPr>
        <w:pStyle w:val="Normal"/>
        <w:jc w:val="both"/>
        <w:rPr/>
      </w:pPr>
      <w:r>
        <w:rPr>
          <w:b/>
          <w:bCs/>
        </w:rPr>
        <w:t>1. Мера стручне праксе</w:t>
      </w:r>
    </w:p>
    <w:p>
      <w:pPr>
        <w:pStyle w:val="Normal"/>
        <w:jc w:val="both"/>
        <w:rPr>
          <w:b/>
          <w:b/>
          <w:bCs/>
        </w:rPr>
      </w:pPr>
      <w:r>
        <w:rPr>
          <w:b/>
          <w:bCs/>
        </w:rPr>
      </w:r>
    </w:p>
    <w:p>
      <w:pPr>
        <w:pStyle w:val="Normal"/>
        <w:jc w:val="both"/>
        <w:rPr/>
      </w:pPr>
      <w:r>
        <w:rPr>
          <w:b/>
          <w:bCs/>
        </w:rPr>
        <w:tab/>
      </w:r>
      <w:r>
        <w:rPr/>
        <w:t>Мера стручне праксе подразумева стручно оспособљавање назапосленог за самостални рад у струци, за које је стечено одговарајуће образовање, ради обављања приправничког стажа, односно стицања услова за полагање стручног испита, када је то законом односно правилником предвиђено као посебан услов за самостални рад у струци.</w:t>
      </w:r>
    </w:p>
    <w:p>
      <w:pPr>
        <w:pStyle w:val="Normal"/>
        <w:jc w:val="both"/>
        <w:rPr/>
      </w:pPr>
      <w:r>
        <w:rPr/>
        <w:tab/>
        <w:t>Мера се реализује без заснивања радног односа.</w:t>
      </w:r>
    </w:p>
    <w:p>
      <w:pPr>
        <w:pStyle w:val="Normal"/>
        <w:jc w:val="both"/>
        <w:rPr/>
      </w:pPr>
      <w:r>
        <w:rPr/>
        <w:tab/>
        <w:t>Финансирање мере стручне праксе траје најдуже 12 месеци.</w:t>
      </w:r>
    </w:p>
    <w:p>
      <w:pPr>
        <w:pStyle w:val="Normal"/>
        <w:jc w:val="both"/>
        <w:rPr/>
      </w:pPr>
      <w:r>
        <w:rPr/>
        <w:tab/>
        <w:t>Током трајања мере стручне праксе Национална служба за запошљавање:</w:t>
      </w:r>
    </w:p>
    <w:p>
      <w:pPr>
        <w:pStyle w:val="Normal"/>
        <w:jc w:val="both"/>
        <w:rPr/>
      </w:pPr>
      <w:r>
        <w:rPr/>
        <w:t>1. ангажованим лицима на име новчане помоћи и трошкова превоза исплаћује средства у укупном месечном износу од:</w:t>
      </w:r>
    </w:p>
    <w:p>
      <w:pPr>
        <w:pStyle w:val="Normal"/>
        <w:jc w:val="both"/>
        <w:rPr/>
      </w:pPr>
      <w:r>
        <w:rPr/>
        <w:t>- 22.000,00 динара за лица са трећими четвртим нивоом квалификације;</w:t>
      </w:r>
    </w:p>
    <w:p>
      <w:pPr>
        <w:pStyle w:val="Normal"/>
        <w:jc w:val="both"/>
        <w:rPr/>
      </w:pPr>
      <w:r>
        <w:rPr/>
        <w:t>- 24.000,00 динара за лица са шестим нивоом квалификације и/или 180ЕСПБ;</w:t>
      </w:r>
    </w:p>
    <w:p>
      <w:pPr>
        <w:pStyle w:val="Normal"/>
        <w:jc w:val="both"/>
        <w:rPr/>
      </w:pPr>
      <w:r>
        <w:rPr/>
        <w:t>- 27.000,00 динара за лица са најмање шестим нивоом квалификације и 240 ЕСПБ;</w:t>
      </w:r>
    </w:p>
    <w:p>
      <w:pPr>
        <w:pStyle w:val="Normal"/>
        <w:jc w:val="both"/>
        <w:rPr/>
      </w:pPr>
      <w:r>
        <w:rPr/>
        <w:t>2. врши обрачун и уплату доприноса за случај повреде на раду и професионалне болести, у складу са законом.</w:t>
      </w:r>
    </w:p>
    <w:p>
      <w:pPr>
        <w:pStyle w:val="Normal"/>
        <w:jc w:val="both"/>
        <w:rPr/>
      </w:pPr>
      <w:r>
        <w:rPr/>
        <w:tab/>
        <w:t>Право учешћа у реализацији мере стручне праксе може да оствари послодавац који припада:</w:t>
      </w:r>
    </w:p>
    <w:p>
      <w:pPr>
        <w:pStyle w:val="Normal"/>
        <w:jc w:val="both"/>
        <w:rPr/>
      </w:pPr>
      <w:r>
        <w:rPr/>
        <w:t xml:space="preserve">а) приватном сектору </w:t>
      </w:r>
    </w:p>
    <w:p>
      <w:pPr>
        <w:pStyle w:val="Normal"/>
        <w:jc w:val="both"/>
        <w:rPr/>
      </w:pPr>
      <w:r>
        <w:rPr/>
        <w:t>б) јавном сектору – број лица која ће бити укључена у меру код послодавца из јавног сектора не може прећи 40% укупно планираног броја лица за укључивање у меру, и то по следећим приоритетима:</w:t>
      </w:r>
    </w:p>
    <w:p>
      <w:pPr>
        <w:pStyle w:val="Normal"/>
        <w:jc w:val="both"/>
        <w:rPr/>
      </w:pPr>
      <w:r>
        <w:rPr/>
        <w:t>1. на пословима здравствених радника;</w:t>
      </w:r>
    </w:p>
    <w:p>
      <w:pPr>
        <w:pStyle w:val="Normal"/>
        <w:jc w:val="both"/>
        <w:rPr/>
      </w:pPr>
      <w:r>
        <w:rPr/>
        <w:t>2. на пословима социјалне заштите;</w:t>
      </w:r>
    </w:p>
    <w:p>
      <w:pPr>
        <w:pStyle w:val="Normal"/>
        <w:jc w:val="both"/>
        <w:rPr/>
      </w:pPr>
      <w:r>
        <w:rPr/>
        <w:t>3. на пословима образовања и васпитања;</w:t>
      </w:r>
      <w:bookmarkStart w:id="2" w:name="_GoBack"/>
      <w:bookmarkEnd w:id="2"/>
    </w:p>
    <w:p>
      <w:pPr>
        <w:pStyle w:val="Normal"/>
        <w:jc w:val="both"/>
        <w:rPr/>
      </w:pPr>
      <w:r>
        <w:rPr/>
        <w:t>4. на пословима правосуђа;</w:t>
      </w:r>
    </w:p>
    <w:p>
      <w:pPr>
        <w:pStyle w:val="Normal"/>
        <w:jc w:val="both"/>
        <w:rPr/>
      </w:pPr>
      <w:r>
        <w:rPr/>
      </w:r>
    </w:p>
    <w:p>
      <w:pPr>
        <w:pStyle w:val="Normal"/>
        <w:jc w:val="both"/>
        <w:rPr>
          <w:color w:val="00B050"/>
          <w:lang w:val="sr-RS"/>
        </w:rPr>
      </w:pPr>
      <w:r>
        <w:rPr>
          <w:color w:val="000000"/>
          <w:lang w:val="sr-RS"/>
        </w:rPr>
        <w:tab/>
        <w:t>Ову меру спроводиће општина Ћићевац у сарадњи са Националном службом за запошљавање- Филијала Крушевац, а међусобна права и обавезе у реализацији мере биће регулисана тројним уговором између послодавца, председника општине Ћићевац и директора НСЗ:</w:t>
      </w:r>
    </w:p>
    <w:p>
      <w:pPr>
        <w:pStyle w:val="Normal"/>
        <w:jc w:val="both"/>
        <w:rPr>
          <w:b/>
          <w:b/>
          <w:bCs/>
          <w:color w:val="00B050"/>
        </w:rPr>
      </w:pPr>
      <w:r>
        <w:rPr>
          <w:b/>
          <w:bCs/>
          <w:color w:val="00B050"/>
        </w:rPr>
      </w:r>
    </w:p>
    <w:p>
      <w:pPr>
        <w:pStyle w:val="Normal"/>
        <w:jc w:val="both"/>
        <w:rPr/>
      </w:pPr>
      <w:r>
        <w:rPr>
          <w:b/>
          <w:bCs/>
        </w:rPr>
        <w:t>2. Програм јавних радова</w:t>
      </w:r>
    </w:p>
    <w:p>
      <w:pPr>
        <w:pStyle w:val="Normal"/>
        <w:jc w:val="both"/>
        <w:rPr>
          <w:b/>
          <w:b/>
          <w:bCs/>
        </w:rPr>
      </w:pPr>
      <w:r>
        <w:rPr>
          <w:b/>
          <w:bCs/>
        </w:rPr>
      </w:r>
    </w:p>
    <w:p>
      <w:pPr>
        <w:pStyle w:val="Normal"/>
        <w:spacing w:before="0" w:after="120"/>
        <w:ind w:firstLine="708"/>
        <w:jc w:val="both"/>
        <w:rPr/>
      </w:pPr>
      <w:r>
        <w:rPr/>
        <w:t xml:space="preserve">Јавни радови се организују у циљу радног ангажовања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pPr>
        <w:pStyle w:val="Normal"/>
        <w:jc w:val="both"/>
        <w:rPr/>
      </w:pPr>
      <w:r>
        <w:rPr/>
      </w:r>
    </w:p>
    <w:p>
      <w:pPr>
        <w:pStyle w:val="Normal"/>
        <w:spacing w:before="0" w:after="120"/>
        <w:ind w:firstLine="708"/>
        <w:jc w:val="both"/>
        <w:rPr/>
      </w:pPr>
      <w:r>
        <w:rPr/>
        <w:t>У програм јавних радова укључују се незапослена лица из следећих категорија:</w:t>
      </w:r>
    </w:p>
    <w:p>
      <w:pPr>
        <w:pStyle w:val="Normal"/>
        <w:numPr>
          <w:ilvl w:val="0"/>
          <w:numId w:val="4"/>
        </w:numPr>
        <w:spacing w:before="0" w:after="0"/>
        <w:contextualSpacing/>
        <w:jc w:val="both"/>
        <w:rPr/>
      </w:pPr>
      <w:r>
        <w:rPr>
          <w:iCs/>
          <w:lang w:eastAsia="en-GB"/>
        </w:rPr>
        <w:t xml:space="preserve">радно способни корисници новчане социјалне помоћи; </w:t>
      </w:r>
    </w:p>
    <w:p>
      <w:pPr>
        <w:pStyle w:val="Normal"/>
        <w:numPr>
          <w:ilvl w:val="0"/>
          <w:numId w:val="4"/>
        </w:numPr>
        <w:spacing w:before="0" w:after="0"/>
        <w:contextualSpacing/>
        <w:jc w:val="both"/>
        <w:rPr/>
      </w:pPr>
      <w:r>
        <w:rPr>
          <w:iCs/>
          <w:lang w:eastAsia="en-GB"/>
        </w:rPr>
        <w:t>Роми;</w:t>
      </w:r>
    </w:p>
    <w:p>
      <w:pPr>
        <w:pStyle w:val="Normal"/>
        <w:numPr>
          <w:ilvl w:val="0"/>
          <w:numId w:val="4"/>
        </w:numPr>
        <w:spacing w:before="0" w:after="0"/>
        <w:contextualSpacing/>
        <w:jc w:val="both"/>
        <w:rPr/>
      </w:pPr>
      <w:r>
        <w:rPr>
          <w:iCs/>
          <w:lang w:eastAsia="en-GB"/>
        </w:rPr>
        <w:t>лица без завршене средње школе;</w:t>
      </w:r>
    </w:p>
    <w:p>
      <w:pPr>
        <w:pStyle w:val="Normal"/>
        <w:numPr>
          <w:ilvl w:val="0"/>
          <w:numId w:val="4"/>
        </w:numPr>
        <w:spacing w:before="0" w:after="0"/>
        <w:contextualSpacing/>
        <w:jc w:val="both"/>
        <w:rPr/>
      </w:pPr>
      <w:r>
        <w:rPr>
          <w:iCs/>
          <w:lang w:eastAsia="en-GB"/>
        </w:rPr>
        <w:t>лица која посао траже дуже од 18 месеци;</w:t>
      </w:r>
    </w:p>
    <w:p>
      <w:pPr>
        <w:pStyle w:val="Normal"/>
        <w:numPr>
          <w:ilvl w:val="0"/>
          <w:numId w:val="4"/>
        </w:numPr>
        <w:spacing w:before="0" w:after="120"/>
        <w:contextualSpacing/>
        <w:jc w:val="both"/>
        <w:rPr/>
      </w:pPr>
      <w:r>
        <w:rPr>
          <w:iCs/>
          <w:lang w:eastAsia="en-GB"/>
        </w:rPr>
        <w:t xml:space="preserve">особе са инвалидитетом. </w:t>
      </w:r>
    </w:p>
    <w:p>
      <w:pPr>
        <w:pStyle w:val="Normal"/>
        <w:ind w:firstLine="708"/>
        <w:jc w:val="both"/>
        <w:rPr/>
      </w:pPr>
      <w:r>
        <w:rPr/>
      </w:r>
    </w:p>
    <w:p>
      <w:pPr>
        <w:pStyle w:val="Normal"/>
        <w:spacing w:before="0" w:after="120"/>
        <w:ind w:firstLine="708"/>
        <w:jc w:val="both"/>
        <w:rPr/>
      </w:pPr>
      <w:r>
        <w:rPr/>
        <w:t>Приоритет за укључивање у меру имају лица из наведених категорија која се први пут ангажују на јавним радовима.</w:t>
      </w:r>
    </w:p>
    <w:p>
      <w:pPr>
        <w:pStyle w:val="Normal"/>
        <w:ind w:firstLine="708"/>
        <w:jc w:val="both"/>
        <w:rPr/>
      </w:pPr>
      <w:r>
        <w:rPr/>
        <w:t>На јавним радовима се радно ангажује најмање пет незапослених лица.</w:t>
      </w:r>
    </w:p>
    <w:p>
      <w:pPr>
        <w:pStyle w:val="Normal"/>
        <w:ind w:firstLine="708"/>
        <w:jc w:val="both"/>
        <w:rPr/>
      </w:pPr>
      <w:r>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Pr>
          <w:b/>
        </w:rPr>
        <w:t xml:space="preserve"> </w:t>
      </w:r>
    </w:p>
    <w:p>
      <w:pPr>
        <w:pStyle w:val="Normal"/>
        <w:ind w:firstLine="708"/>
        <w:jc w:val="both"/>
        <w:rPr/>
      </w:pPr>
      <w:r>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pPr>
        <w:pStyle w:val="Normal"/>
        <w:ind w:firstLine="708"/>
        <w:jc w:val="both"/>
        <w:rPr/>
      </w:pPr>
      <w:r>
        <w:rPr/>
        <w:t>2) накнаду трошкова спровођења јавних радова послодавцу (највише до 2.000,00 динара по лицу, једнократно, у зависности од трајања јавног рада);</w:t>
      </w:r>
    </w:p>
    <w:p>
      <w:pPr>
        <w:pStyle w:val="Normal"/>
        <w:ind w:firstLine="708"/>
        <w:jc w:val="both"/>
        <w:rPr/>
      </w:pPr>
      <w:r>
        <w:rPr/>
        <w:t xml:space="preserve">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w:t>
      </w:r>
    </w:p>
    <w:p>
      <w:pPr>
        <w:pStyle w:val="Normal"/>
        <w:ind w:firstLine="708"/>
        <w:jc w:val="both"/>
        <w:rPr/>
      </w:pPr>
      <w:r>
        <w:rPr/>
        <w:t xml:space="preserve">Јавни радови се организују у области социјалне заштите и хуманитарног рада, одржавања и обнављања јавне инфраструктуре, одржавања и заштите животне средине и природе и културе. </w:t>
      </w:r>
    </w:p>
    <w:p>
      <w:pPr>
        <w:pStyle w:val="Normal"/>
        <w:jc w:val="both"/>
        <w:rPr/>
      </w:pPr>
      <w:r>
        <w:rPr/>
        <w:t>Право учествовања у поступку организовања јавних радова имају органи јединице локалне самоуправе, јавне установе и јавна предузећа, привредна друштва, предузетници, задруге и удружења.</w:t>
      </w:r>
    </w:p>
    <w:p>
      <w:pPr>
        <w:pStyle w:val="Normal"/>
        <w:jc w:val="both"/>
        <w:rPr/>
      </w:pPr>
      <w:r>
        <w:rPr/>
        <w:tab/>
      </w:r>
    </w:p>
    <w:p>
      <w:pPr>
        <w:pStyle w:val="Normal"/>
        <w:jc w:val="both"/>
        <w:rPr>
          <w:color w:val="00B050"/>
          <w:lang w:val="sr-RS"/>
        </w:rPr>
      </w:pPr>
      <w:r>
        <w:rPr>
          <w:color w:val="00B050"/>
          <w:lang w:val="sr-RS"/>
        </w:rPr>
        <w:tab/>
      </w:r>
      <w:r>
        <w:rPr>
          <w:color w:val="000000"/>
          <w:lang w:val="sr-RS"/>
        </w:rPr>
        <w:t>Ову меру спроводиће општина Ћићевац у сарадњи са Националном службом за запошљавање- Филијала Крушевац, а међусобна права и обавезе у реализацији мере биће регулисана тројним уговором између послодавца, председника општине Ћићевац и директора НСЗ:</w:t>
      </w:r>
    </w:p>
    <w:p>
      <w:pPr>
        <w:pStyle w:val="Normal"/>
        <w:jc w:val="both"/>
        <w:rPr>
          <w:b/>
          <w:b/>
          <w:bCs/>
          <w:color w:val="00B050"/>
        </w:rPr>
      </w:pPr>
      <w:r>
        <w:rPr>
          <w:b/>
          <w:bCs/>
          <w:color w:val="00B050"/>
        </w:rPr>
      </w:r>
    </w:p>
    <w:p>
      <w:pPr>
        <w:pStyle w:val="Normal"/>
        <w:jc w:val="both"/>
        <w:rPr>
          <w:b/>
          <w:b/>
          <w:bCs/>
        </w:rPr>
      </w:pPr>
      <w:r>
        <w:rPr>
          <w:b/>
          <w:bCs/>
        </w:rPr>
      </w:r>
    </w:p>
    <w:p>
      <w:pPr>
        <w:pStyle w:val="Normal"/>
        <w:jc w:val="both"/>
        <w:rPr>
          <w:b/>
          <w:b/>
          <w:bCs/>
        </w:rPr>
      </w:pPr>
      <w:r>
        <w:rPr>
          <w:b/>
          <w:bCs/>
        </w:rPr>
      </w:r>
    </w:p>
    <w:p>
      <w:pPr>
        <w:pStyle w:val="Normal"/>
        <w:jc w:val="both"/>
        <w:rPr/>
      </w:pPr>
      <w:r>
        <w:rPr>
          <w:b/>
          <w:bCs/>
        </w:rPr>
        <w:t>3. Подршка самозапошљавању</w:t>
      </w:r>
    </w:p>
    <w:p>
      <w:pPr>
        <w:pStyle w:val="ListParagraph"/>
        <w:spacing w:lineRule="auto" w:line="240" w:before="0" w:after="0"/>
        <w:contextualSpacing/>
        <w:jc w:val="both"/>
        <w:rPr>
          <w:rFonts w:ascii="Times New Roman" w:hAnsi="Times New Roman"/>
          <w:b/>
          <w:b/>
          <w:bCs/>
          <w:sz w:val="24"/>
          <w:szCs w:val="24"/>
        </w:rPr>
      </w:pPr>
      <w:r>
        <w:rPr>
          <w:rFonts w:ascii="Times New Roman" w:hAnsi="Times New Roman"/>
          <w:b/>
          <w:bCs/>
          <w:sz w:val="24"/>
          <w:szCs w:val="24"/>
        </w:rPr>
      </w:r>
    </w:p>
    <w:p>
      <w:pPr>
        <w:pStyle w:val="ListParagraph"/>
        <w:spacing w:lineRule="auto" w:line="240" w:before="0" w:after="0"/>
        <w:contextualSpacing/>
        <w:jc w:val="both"/>
        <w:rPr>
          <w:rFonts w:ascii="Times New Roman" w:hAnsi="Times New Roman"/>
          <w:b/>
          <w:b/>
          <w:bCs/>
          <w:sz w:val="24"/>
          <w:szCs w:val="24"/>
        </w:rPr>
      </w:pPr>
      <w:r>
        <w:rPr>
          <w:rFonts w:ascii="Times New Roman" w:hAnsi="Times New Roman"/>
          <w:b/>
          <w:bCs/>
          <w:sz w:val="24"/>
          <w:szCs w:val="24"/>
        </w:rPr>
      </w:r>
    </w:p>
    <w:p>
      <w:pPr>
        <w:pStyle w:val="ListParagraph"/>
        <w:spacing w:lineRule="auto" w:line="240" w:before="0" w:after="0"/>
        <w:contextualSpacing/>
        <w:jc w:val="both"/>
        <w:rPr/>
      </w:pPr>
      <w:r>
        <w:rPr>
          <w:rFonts w:ascii="Times New Roman" w:hAnsi="Times New Roman"/>
          <w:b/>
          <w:bCs/>
          <w:sz w:val="24"/>
          <w:szCs w:val="24"/>
        </w:rPr>
        <w:tab/>
        <w:t xml:space="preserve"> </w:t>
      </w:r>
      <w:r>
        <w:rPr>
          <w:rFonts w:ascii="Times New Roman" w:hAnsi="Times New Roman"/>
          <w:sz w:val="24"/>
          <w:szCs w:val="24"/>
        </w:rPr>
        <w:t xml:space="preserve"> Субвенција за самозапошљавање – одобрава се незапосленом лицу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локалном планском документу у области запошљавања.</w:t>
      </w:r>
    </w:p>
    <w:p>
      <w:pPr>
        <w:pStyle w:val="Normal"/>
        <w:ind w:firstLine="708"/>
        <w:jc w:val="both"/>
        <w:rPr/>
      </w:pPr>
      <w:r>
        <w:rPr/>
        <w:t xml:space="preserve">Подршка самозапошљавању обухвата стручну помоћ и средства у виду субвенције за самозапошљавање. </w:t>
      </w:r>
    </w:p>
    <w:p>
      <w:pPr>
        <w:pStyle w:val="Normal"/>
        <w:ind w:firstLine="708"/>
        <w:jc w:val="both"/>
        <w:rPr/>
      </w:pPr>
      <w:r>
        <w:rPr/>
        <w:t>Субвенција за самозапошљавање намењена је незапосленим лицима који се воде на евиденцији Националне службе за запошљавање и имају завршену обуку за развој предузетништва.</w:t>
      </w:r>
    </w:p>
    <w:p>
      <w:pPr>
        <w:pStyle w:val="Normal"/>
        <w:ind w:firstLine="708"/>
        <w:jc w:val="both"/>
        <w:rPr/>
      </w:pPr>
      <w:r>
        <w:rPr/>
      </w:r>
    </w:p>
    <w:p>
      <w:pPr>
        <w:pStyle w:val="Normal"/>
        <w:ind w:firstLine="708"/>
        <w:jc w:val="both"/>
        <w:rPr/>
      </w:pPr>
      <w:r>
        <w:rPr/>
        <w:t xml:space="preserve">Средства за самозапошљавање у 2022.  и 2023. години одобравају се незапосленом лицу у виду субвенције, у једнократном износу од 300.000,00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pPr>
        <w:pStyle w:val="Normal"/>
        <w:ind w:firstLine="708"/>
        <w:jc w:val="both"/>
        <w:rPr/>
      </w:pPr>
      <w:r>
        <w:rPr/>
        <w:t>Приоритет код одобравања субвенције за самозапошљавање имају:</w:t>
      </w:r>
    </w:p>
    <w:p>
      <w:pPr>
        <w:pStyle w:val="Normal"/>
        <w:numPr>
          <w:ilvl w:val="0"/>
          <w:numId w:val="5"/>
        </w:numPr>
        <w:spacing w:before="0" w:after="0"/>
        <w:contextualSpacing/>
        <w:jc w:val="both"/>
        <w:rPr>
          <w:iCs/>
          <w:lang w:eastAsia="en-GB"/>
        </w:rPr>
      </w:pPr>
      <w:r>
        <w:rPr>
          <w:iCs/>
          <w:lang w:eastAsia="en-GB"/>
        </w:rPr>
        <w:t xml:space="preserve">- млади до 30 година старости, </w:t>
      </w:r>
    </w:p>
    <w:p>
      <w:pPr>
        <w:pStyle w:val="Normal"/>
        <w:numPr>
          <w:ilvl w:val="0"/>
          <w:numId w:val="5"/>
        </w:numPr>
        <w:spacing w:before="0" w:after="0"/>
        <w:contextualSpacing/>
        <w:jc w:val="both"/>
        <w:rPr>
          <w:iCs/>
          <w:lang w:eastAsia="en-GB"/>
        </w:rPr>
      </w:pPr>
      <w:r>
        <w:rPr>
          <w:iCs/>
          <w:lang w:eastAsia="en-GB"/>
        </w:rPr>
        <w:t>- вишкови запослених,</w:t>
      </w:r>
    </w:p>
    <w:p>
      <w:pPr>
        <w:pStyle w:val="Normal"/>
        <w:numPr>
          <w:ilvl w:val="0"/>
          <w:numId w:val="5"/>
        </w:numPr>
        <w:spacing w:before="0" w:after="0"/>
        <w:contextualSpacing/>
        <w:jc w:val="both"/>
        <w:rPr>
          <w:iCs/>
          <w:lang w:eastAsia="en-GB"/>
        </w:rPr>
      </w:pPr>
      <w:r>
        <w:rPr>
          <w:iCs/>
          <w:lang w:eastAsia="en-GB"/>
        </w:rPr>
        <w:t xml:space="preserve">- Роми, </w:t>
      </w:r>
    </w:p>
    <w:p>
      <w:pPr>
        <w:pStyle w:val="Normal"/>
        <w:numPr>
          <w:ilvl w:val="0"/>
          <w:numId w:val="5"/>
        </w:numPr>
        <w:spacing w:before="0" w:after="0"/>
        <w:contextualSpacing/>
        <w:jc w:val="both"/>
        <w:rPr>
          <w:iCs/>
          <w:lang w:eastAsia="en-GB"/>
        </w:rPr>
      </w:pPr>
      <w:r>
        <w:rPr>
          <w:iCs/>
          <w:lang w:eastAsia="en-GB"/>
        </w:rPr>
        <w:t>- особе са инвалидитетом,</w:t>
      </w:r>
    </w:p>
    <w:p>
      <w:pPr>
        <w:pStyle w:val="Normal"/>
        <w:numPr>
          <w:ilvl w:val="0"/>
          <w:numId w:val="5"/>
        </w:numPr>
        <w:spacing w:before="0" w:after="0"/>
        <w:contextualSpacing/>
        <w:jc w:val="both"/>
        <w:rPr/>
      </w:pPr>
      <w:r>
        <w:rPr>
          <w:iCs/>
          <w:lang w:eastAsia="en-GB"/>
        </w:rPr>
        <w:t>- жене</w:t>
      </w:r>
    </w:p>
    <w:p>
      <w:pPr>
        <w:pStyle w:val="Normal"/>
        <w:numPr>
          <w:ilvl w:val="0"/>
          <w:numId w:val="5"/>
        </w:numPr>
        <w:spacing w:before="0" w:after="0"/>
        <w:contextualSpacing/>
        <w:jc w:val="both"/>
        <w:rPr>
          <w:iCs/>
          <w:color w:val="C9211E"/>
          <w:lang w:eastAsia="en-GB"/>
        </w:rPr>
      </w:pPr>
      <w:r>
        <w:rPr>
          <w:iCs/>
          <w:color w:val="C9211E"/>
          <w:lang w:eastAsia="en-GB"/>
        </w:rPr>
      </w:r>
    </w:p>
    <w:p>
      <w:pPr>
        <w:pStyle w:val="Normal"/>
        <w:ind w:firstLine="708"/>
        <w:jc w:val="both"/>
        <w:rPr/>
      </w:pPr>
      <w:r>
        <w:rPr/>
        <w:t>У случају самозапошљавања особа са инвалидитетом субвенција се одобрава у једнократном износу од 330.000,00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Реализација програма прати се 12 месеци.</w:t>
      </w:r>
    </w:p>
    <w:p>
      <w:pPr>
        <w:pStyle w:val="Normal"/>
        <w:ind w:firstLine="708"/>
        <w:jc w:val="both"/>
        <w:rPr/>
      </w:pPr>
      <w:r>
        <w:rPr/>
      </w:r>
    </w:p>
    <w:p>
      <w:pPr>
        <w:pStyle w:val="Normal"/>
        <w:jc w:val="both"/>
        <w:rPr>
          <w:lang w:val="sr-RS"/>
        </w:rPr>
      </w:pPr>
      <w:r>
        <w:rPr>
          <w:color w:val="00B050"/>
          <w:lang w:val="sr-RS"/>
        </w:rPr>
        <w:tab/>
      </w:r>
      <w:r>
        <w:rPr>
          <w:color w:val="000000"/>
          <w:lang w:val="sr-RS"/>
        </w:rPr>
        <w:t>Ову меру спроводиће општина Ћићевац у сарадњи са Националном службом за запошљавање- Филијала Крушевац, а међусобна права и обавезе у реализацији мере биће регулисана тројним уговором између послодавца, председника општине Ћићевац и директора НСЗ:</w:t>
      </w:r>
    </w:p>
    <w:p>
      <w:pPr>
        <w:pStyle w:val="Normal"/>
        <w:jc w:val="both"/>
        <w:rPr>
          <w:b/>
          <w:b/>
          <w:bCs/>
        </w:rPr>
      </w:pPr>
      <w:r>
        <w:rPr>
          <w:b/>
          <w:bCs/>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ind w:firstLine="708"/>
        <w:jc w:val="both"/>
        <w:rPr>
          <w:b/>
          <w:b/>
        </w:rPr>
      </w:pPr>
      <w:r>
        <w:rPr>
          <w:b/>
        </w:rPr>
      </w:r>
    </w:p>
    <w:p>
      <w:pPr>
        <w:pStyle w:val="Normal"/>
        <w:tabs>
          <w:tab w:val="clear" w:pos="709"/>
          <w:tab w:val="left" w:pos="2640" w:leader="none"/>
        </w:tabs>
        <w:ind w:left="360" w:hanging="0"/>
        <w:jc w:val="center"/>
        <w:rPr>
          <w:b/>
          <w:b/>
        </w:rPr>
      </w:pPr>
      <w:r>
        <w:rPr>
          <w:b/>
        </w:rPr>
      </w:r>
    </w:p>
    <w:p>
      <w:pPr>
        <w:pStyle w:val="Normal"/>
        <w:tabs>
          <w:tab w:val="clear" w:pos="709"/>
          <w:tab w:val="left" w:pos="2640" w:leader="none"/>
        </w:tabs>
        <w:ind w:left="360" w:hanging="0"/>
        <w:jc w:val="center"/>
        <w:rPr/>
      </w:pPr>
      <w:r>
        <w:rPr>
          <w:b/>
        </w:rPr>
        <w:t>5.</w:t>
      </w:r>
      <w:r>
        <w:rPr/>
        <w:t xml:space="preserve"> </w:t>
      </w:r>
      <w:r>
        <w:rPr>
          <w:b/>
        </w:rPr>
        <w:t>ПРАЋЕЊЕ, ОЦЕНА И ИЗВЕШТАВАЊЕ О РЕАЛИЗАЦИЈИ ЛАПЗ</w:t>
      </w:r>
    </w:p>
    <w:p>
      <w:pPr>
        <w:pStyle w:val="Normal"/>
        <w:tabs>
          <w:tab w:val="clear" w:pos="709"/>
          <w:tab w:val="left" w:pos="2640" w:leader="none"/>
        </w:tabs>
        <w:ind w:left="360" w:hanging="0"/>
        <w:jc w:val="center"/>
        <w:rPr/>
      </w:pPr>
      <w:r>
        <w:rPr/>
      </w:r>
    </w:p>
    <w:tbl>
      <w:tblPr>
        <w:tblW w:w="9493" w:type="dxa"/>
        <w:jc w:val="left"/>
        <w:tblInd w:w="360" w:type="dxa"/>
        <w:tblCellMar>
          <w:top w:w="0" w:type="dxa"/>
          <w:left w:w="108" w:type="dxa"/>
          <w:bottom w:w="0" w:type="dxa"/>
          <w:right w:w="108" w:type="dxa"/>
        </w:tblCellMar>
        <w:tblLook w:firstRow="1" w:noVBand="1" w:lastRow="0" w:firstColumn="1" w:lastColumn="0" w:noHBand="0" w:val="04a0"/>
      </w:tblPr>
      <w:tblGrid>
        <w:gridCol w:w="2691"/>
        <w:gridCol w:w="2123"/>
        <w:gridCol w:w="2319"/>
        <w:gridCol w:w="2359"/>
      </w:tblGrid>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sz w:val="22"/>
                <w:szCs w:val="22"/>
              </w:rPr>
            </w:pPr>
            <w:r>
              <w:rPr>
                <w:sz w:val="22"/>
                <w:szCs w:val="22"/>
              </w:rPr>
              <w:t>Мера/активност</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sz w:val="22"/>
                <w:szCs w:val="22"/>
              </w:rPr>
            </w:pPr>
            <w:r>
              <w:rPr>
                <w:sz w:val="22"/>
                <w:szCs w:val="22"/>
              </w:rPr>
              <w:t>Индикатор</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sz w:val="22"/>
                <w:szCs w:val="22"/>
              </w:rPr>
            </w:pPr>
            <w:r>
              <w:rPr>
                <w:sz w:val="22"/>
                <w:szCs w:val="22"/>
              </w:rPr>
              <w:t>Временски оквир</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sz w:val="22"/>
                <w:szCs w:val="22"/>
              </w:rPr>
            </w:pPr>
            <w:r>
              <w:rPr>
                <w:sz w:val="22"/>
                <w:szCs w:val="22"/>
              </w:rPr>
              <w:t>Одговорност</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Подношење захтева за учешће у финансирању програма или мера ЛАПЗ у 20</w:t>
            </w:r>
            <w:r>
              <w:rPr>
                <w:lang w:val="sr-Latn-RS"/>
              </w:rPr>
              <w:t>2</w:t>
            </w:r>
            <w:r>
              <w:rPr/>
              <w:t>2. и 2023. години</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потврда о подношењу</w:t>
            </w:r>
          </w:p>
          <w:p>
            <w:pPr>
              <w:pStyle w:val="Normal"/>
              <w:tabs>
                <w:tab w:val="clear" w:pos="709"/>
                <w:tab w:val="left" w:pos="2640" w:leader="none"/>
              </w:tabs>
              <w:rPr/>
            </w:pPr>
            <w:r>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28. фебруар</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t>Одлука о учешћу у финансирању програма или мера ЛАПЗ</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пријем обавештења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април</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НСЗ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Потписивање споразума о сарадњи ЈЛС и НСЗ</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потписан споразум</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мај</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НСЗ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Расписивање јавних</w:t>
            </w:r>
          </w:p>
          <w:p>
            <w:pPr>
              <w:pStyle w:val="Normal"/>
              <w:tabs>
                <w:tab w:val="clear" w:pos="709"/>
                <w:tab w:val="left" w:pos="2640" w:leader="none"/>
              </w:tabs>
              <w:jc w:val="both"/>
              <w:rPr/>
            </w:pPr>
            <w:r>
              <w:rPr/>
              <w:t>позива</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расписанa 3 јавнa позива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јун</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 и НСЗ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Укупан број лица по</w:t>
            </w:r>
          </w:p>
          <w:p>
            <w:pPr>
              <w:pStyle w:val="Normal"/>
              <w:tabs>
                <w:tab w:val="clear" w:pos="709"/>
                <w:tab w:val="left" w:pos="2640" w:leader="none"/>
              </w:tabs>
              <w:jc w:val="both"/>
              <w:rPr/>
            </w:pPr>
            <w:r>
              <w:rPr/>
              <w:t>поднетим захтевима</w:t>
            </w:r>
          </w:p>
          <w:p>
            <w:pPr>
              <w:pStyle w:val="Normal"/>
              <w:tabs>
                <w:tab w:val="clear" w:pos="709"/>
                <w:tab w:val="left" w:pos="2640" w:leader="none"/>
              </w:tabs>
              <w:jc w:val="both"/>
              <w:rPr/>
            </w:pPr>
            <w:r>
              <w:rPr/>
              <w:t>који су у поступку</w:t>
            </w:r>
          </w:p>
          <w:p>
            <w:pPr>
              <w:pStyle w:val="Normal"/>
              <w:tabs>
                <w:tab w:val="clear" w:pos="709"/>
                <w:tab w:val="left" w:pos="2640" w:leader="none"/>
              </w:tabs>
              <w:jc w:val="both"/>
              <w:rPr/>
            </w:pPr>
            <w:r>
              <w:rPr/>
              <w:t>одлучивања (по</w:t>
            </w:r>
          </w:p>
          <w:p>
            <w:pPr>
              <w:pStyle w:val="Normal"/>
              <w:tabs>
                <w:tab w:val="clear" w:pos="709"/>
                <w:tab w:val="left" w:pos="2640" w:leader="none"/>
              </w:tabs>
              <w:jc w:val="both"/>
              <w:rPr/>
            </w:pPr>
            <w:r>
              <w:rPr/>
              <w:t>мерама)</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color w:val="111111"/>
              </w:rPr>
              <w:t>8</w:t>
            </w:r>
            <w:r>
              <w:rPr/>
              <w:t xml:space="preserve"> лица јавни рад</w:t>
            </w:r>
          </w:p>
          <w:p>
            <w:pPr>
              <w:pStyle w:val="Normal"/>
              <w:tabs>
                <w:tab w:val="clear" w:pos="709"/>
                <w:tab w:val="left" w:pos="2640" w:leader="none"/>
              </w:tabs>
              <w:rPr/>
            </w:pPr>
            <w:r>
              <w:rPr/>
              <w:t>5</w:t>
            </w:r>
            <w:r>
              <w:rPr>
                <w:lang w:val="sr-Latn-RS"/>
              </w:rPr>
              <w:t xml:space="preserve"> </w:t>
            </w:r>
            <w:r>
              <w:rPr/>
              <w:t>лица подршка</w:t>
            </w:r>
          </w:p>
          <w:p>
            <w:pPr>
              <w:pStyle w:val="Normal"/>
              <w:tabs>
                <w:tab w:val="clear" w:pos="709"/>
                <w:tab w:val="left" w:pos="2640" w:leader="none"/>
              </w:tabs>
              <w:rPr/>
            </w:pPr>
            <w:r>
              <w:rPr/>
              <w:t>самозапошљавању</w:t>
            </w:r>
          </w:p>
          <w:p>
            <w:pPr>
              <w:pStyle w:val="Normal"/>
              <w:tabs>
                <w:tab w:val="clear" w:pos="709"/>
                <w:tab w:val="left" w:pos="2640" w:leader="none"/>
              </w:tabs>
              <w:rPr/>
            </w:pPr>
            <w:r>
              <w:rPr/>
              <w:t>4</w:t>
            </w:r>
            <w:r>
              <w:rPr>
                <w:lang w:val="sr-Latn-RS"/>
              </w:rPr>
              <w:t xml:space="preserve"> </w:t>
            </w:r>
            <w:r>
              <w:rPr/>
              <w:t>лица за стручну праксу</w:t>
            </w:r>
          </w:p>
          <w:p>
            <w:pPr>
              <w:pStyle w:val="Normal"/>
              <w:tabs>
                <w:tab w:val="clear" w:pos="709"/>
                <w:tab w:val="left" w:pos="2640" w:leader="none"/>
              </w:tabs>
              <w:rPr/>
            </w:pPr>
            <w:r>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јул/август</w:t>
            </w:r>
          </w:p>
          <w:p>
            <w:pPr>
              <w:pStyle w:val="Normal"/>
              <w:tabs>
                <w:tab w:val="clear" w:pos="709"/>
                <w:tab w:val="left" w:pos="2640" w:leader="none"/>
              </w:tabs>
              <w:jc w:val="both"/>
              <w:rPr/>
            </w:pPr>
            <w:r>
              <w:rPr/>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 и НСЗ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Одлучивање по</w:t>
            </w:r>
          </w:p>
          <w:p>
            <w:pPr>
              <w:pStyle w:val="Normal"/>
              <w:tabs>
                <w:tab w:val="clear" w:pos="709"/>
                <w:tab w:val="left" w:pos="2640" w:leader="none"/>
              </w:tabs>
              <w:jc w:val="both"/>
              <w:rPr/>
            </w:pPr>
            <w:r>
              <w:rPr/>
              <w:t>захтевима</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број одобрених захтева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јул/ август</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 и НСЗ</w:t>
            </w:r>
          </w:p>
          <w:p>
            <w:pPr>
              <w:pStyle w:val="Normal"/>
              <w:tabs>
                <w:tab w:val="clear" w:pos="709"/>
                <w:tab w:val="left" w:pos="2640" w:leader="none"/>
              </w:tabs>
              <w:jc w:val="both"/>
              <w:rPr/>
            </w:pPr>
            <w:r>
              <w:rPr/>
              <w:t>( уз учешће ЛСЗ)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Укупно укључена</w:t>
            </w:r>
          </w:p>
          <w:p>
            <w:pPr>
              <w:pStyle w:val="Normal"/>
              <w:tabs>
                <w:tab w:val="clear" w:pos="709"/>
                <w:tab w:val="left" w:pos="2640" w:leader="none"/>
              </w:tabs>
              <w:jc w:val="both"/>
              <w:rPr/>
            </w:pPr>
            <w:r>
              <w:rPr/>
              <w:t>лица у мере</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број лица у мерама ( по</w:t>
            </w:r>
          </w:p>
          <w:p>
            <w:pPr>
              <w:pStyle w:val="Normal"/>
              <w:tabs>
                <w:tab w:val="clear" w:pos="709"/>
                <w:tab w:val="left" w:pos="2640" w:leader="none"/>
              </w:tabs>
              <w:rPr/>
            </w:pPr>
            <w:r>
              <w:rPr/>
              <w:t>мерама и циљним групама)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август/септембар - праћење на месечном нивоу док мера траје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ЈЛС и НСЗ</w:t>
            </w:r>
          </w:p>
          <w:p>
            <w:pPr>
              <w:pStyle w:val="Normal"/>
              <w:tabs>
                <w:tab w:val="clear" w:pos="709"/>
                <w:tab w:val="left" w:pos="2640" w:leader="none"/>
              </w:tabs>
              <w:rPr/>
            </w:pPr>
            <w:r>
              <w:rPr/>
              <w:t>(ЛСЗ)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Укупан број лица</w:t>
            </w:r>
          </w:p>
          <w:p>
            <w:pPr>
              <w:pStyle w:val="Normal"/>
              <w:tabs>
                <w:tab w:val="clear" w:pos="709"/>
                <w:tab w:val="left" w:pos="2640" w:leader="none"/>
              </w:tabs>
              <w:jc w:val="both"/>
              <w:rPr/>
            </w:pPr>
            <w:r>
              <w:rPr/>
              <w:t>која су завршила</w:t>
            </w:r>
          </w:p>
          <w:p>
            <w:pPr>
              <w:pStyle w:val="Normal"/>
              <w:tabs>
                <w:tab w:val="clear" w:pos="709"/>
                <w:tab w:val="left" w:pos="2640" w:leader="none"/>
              </w:tabs>
              <w:jc w:val="both"/>
              <w:rPr/>
            </w:pPr>
            <w:r>
              <w:rPr/>
              <w:t>меру</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број лица по мерама (по мерама и циљним групама)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По завршетку мере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 и НСЗ</w:t>
            </w:r>
          </w:p>
          <w:p>
            <w:pPr>
              <w:pStyle w:val="Normal"/>
              <w:tabs>
                <w:tab w:val="clear" w:pos="709"/>
                <w:tab w:val="left" w:pos="2640" w:leader="none"/>
              </w:tabs>
              <w:jc w:val="both"/>
              <w:rPr/>
            </w:pPr>
            <w:r>
              <w:rPr/>
              <w:t>(ЛСЗ)</w:t>
            </w:r>
          </w:p>
          <w:p>
            <w:pPr>
              <w:pStyle w:val="Normal"/>
              <w:tabs>
                <w:tab w:val="clear" w:pos="709"/>
                <w:tab w:val="left" w:pos="2640" w:leader="none"/>
              </w:tabs>
              <w:jc w:val="both"/>
              <w:rPr/>
            </w:pPr>
            <w:r>
              <w:rPr/>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Ефекат мере на</w:t>
            </w:r>
          </w:p>
          <w:p>
            <w:pPr>
              <w:pStyle w:val="Normal"/>
              <w:tabs>
                <w:tab w:val="clear" w:pos="709"/>
                <w:tab w:val="left" w:pos="2640" w:leader="none"/>
              </w:tabs>
              <w:jc w:val="both"/>
              <w:rPr/>
            </w:pPr>
            <w:r>
              <w:rPr/>
              <w:t>запошљавање (бруто</w:t>
            </w:r>
          </w:p>
          <w:p>
            <w:pPr>
              <w:pStyle w:val="Normal"/>
              <w:tabs>
                <w:tab w:val="clear" w:pos="709"/>
                <w:tab w:val="left" w:pos="2640" w:leader="none"/>
              </w:tabs>
              <w:jc w:val="both"/>
              <w:rPr/>
            </w:pPr>
            <w:r>
              <w:rPr/>
              <w:t>ефекат)</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број лица запослено (по мерама и циљним групама)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6 месеци по изласку из мере/уговорне обавезе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НСЗ</w:t>
            </w:r>
          </w:p>
          <w:p>
            <w:pPr>
              <w:pStyle w:val="Normal"/>
              <w:tabs>
                <w:tab w:val="clear" w:pos="709"/>
                <w:tab w:val="left" w:pos="2640" w:leader="none"/>
              </w:tabs>
              <w:jc w:val="both"/>
              <w:rPr/>
            </w:pPr>
            <w:r>
              <w:rPr/>
              <w:t>(ЛСЗ)</w:t>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Утрошак средстава</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rPr/>
            </w:pPr>
            <w:r>
              <w:rPr/>
              <w:t>Износ средстава по мерама</w:t>
            </w:r>
          </w:p>
          <w:p>
            <w:pPr>
              <w:pStyle w:val="Normal"/>
              <w:tabs>
                <w:tab w:val="clear" w:pos="709"/>
                <w:tab w:val="left" w:pos="2640" w:leader="none"/>
              </w:tabs>
              <w:jc w:val="both"/>
              <w:rPr/>
            </w:pPr>
            <w:r>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Након реализације свих финансијских обавеза</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ЈЛС и НСЗ</w:t>
            </w:r>
          </w:p>
        </w:tc>
      </w:tr>
      <w:tr>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Анализа</w:t>
            </w:r>
          </w:p>
          <w:p>
            <w:pPr>
              <w:pStyle w:val="Normal"/>
              <w:tabs>
                <w:tab w:val="clear" w:pos="709"/>
                <w:tab w:val="left" w:pos="2640" w:leader="none"/>
              </w:tabs>
              <w:jc w:val="both"/>
              <w:rPr/>
            </w:pPr>
            <w:r>
              <w:rPr/>
              <w:t>успешности ЛАПЗ</w:t>
            </w:r>
          </w:p>
        </w:tc>
        <w:tc>
          <w:tcPr>
            <w:tcW w:w="21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Израђена анализа</w:t>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 xml:space="preserve">Након завршетка </w:t>
            </w:r>
          </w:p>
          <w:p>
            <w:pPr>
              <w:pStyle w:val="Normal"/>
              <w:tabs>
                <w:tab w:val="clear" w:pos="709"/>
                <w:tab w:val="left" w:pos="2640" w:leader="none"/>
              </w:tabs>
              <w:jc w:val="both"/>
              <w:rPr/>
            </w:pPr>
            <w:r>
              <w:rPr/>
              <w:t>мера ЛАПЗ</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640" w:leader="none"/>
              </w:tabs>
              <w:jc w:val="both"/>
              <w:rPr/>
            </w:pPr>
            <w:r>
              <w:rPr/>
              <w:t>ЛСЗ</w:t>
            </w:r>
          </w:p>
        </w:tc>
      </w:tr>
    </w:tbl>
    <w:p>
      <w:pPr>
        <w:pStyle w:val="Normal"/>
        <w:tabs>
          <w:tab w:val="clear" w:pos="709"/>
          <w:tab w:val="left" w:pos="2640" w:leader="none"/>
        </w:tabs>
        <w:jc w:val="both"/>
        <w:rPr/>
      </w:pPr>
      <w:r>
        <w:rPr/>
      </w:r>
    </w:p>
    <w:sectPr>
      <w:headerReference w:type="default" r:id="rId2"/>
      <w:footnotePr>
        <w:numFmt w:val="decimal"/>
      </w:footnotePr>
      <w:type w:val="nextPage"/>
      <w:pgSz w:w="11906" w:h="16838"/>
      <w:pgMar w:left="1134" w:right="1134" w:header="113" w:top="170" w:footer="0" w:bottom="1135"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Verdana">
    <w:charset w:val="00"/>
    <w:family w:val="roman"/>
    <w:pitch w:val="variable"/>
  </w:font>
  <w:font w:name="OpenSymbol">
    <w:altName w:val="Arial Unicode MS"/>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ascii="Times New Roman" w:hAnsi="Times New Roman"/>
          <w:sz w:val="18"/>
          <w:szCs w:val="18"/>
          <w:lang w:val="ru-RU"/>
        </w:rPr>
        <w:t xml:space="preserve"> </w:t>
      </w:r>
      <w:r>
        <w:rPr>
          <w:rFonts w:ascii="Times New Roman" w:hAnsi="Times New Roman"/>
          <w:sz w:val="18"/>
          <w:szCs w:val="18"/>
        </w:rPr>
        <w:t xml:space="preserve">Категорија </w:t>
      </w:r>
      <w:r>
        <w:rPr>
          <w:rFonts w:ascii="Times New Roman" w:hAnsi="Times New Roman"/>
          <w:i/>
          <w:sz w:val="18"/>
          <w:szCs w:val="18"/>
          <w:lang w:val="ru-RU"/>
        </w:rPr>
        <w:t>млади</w:t>
      </w:r>
      <w:r>
        <w:rPr>
          <w:rFonts w:ascii="Times New Roman" w:hAnsi="Times New Roman"/>
          <w:i/>
          <w:sz w:val="18"/>
          <w:szCs w:val="18"/>
        </w:rPr>
        <w:t>х</w:t>
      </w:r>
      <w:r>
        <w:rPr>
          <w:rFonts w:ascii="Times New Roman" w:hAnsi="Times New Roman"/>
          <w:i/>
          <w:sz w:val="18"/>
          <w:szCs w:val="18"/>
          <w:lang w:val="ru-RU"/>
        </w:rPr>
        <w:t xml:space="preserve"> у домском смештају, хранитељским и старатељским породицама</w:t>
      </w:r>
      <w:r>
        <w:rPr>
          <w:rFonts w:ascii="Times New Roman" w:hAnsi="Times New Roman"/>
          <w:sz w:val="18"/>
          <w:szCs w:val="18"/>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sr-Latn-CS"/>
      </w:rPr>
    </w:pPr>
    <w:r>
      <w:rPr>
        <w:lang w:val="sr-Latn-CS"/>
      </w:rPr>
    </w:r>
  </w:p>
  <w:p>
    <w:pPr>
      <w:pStyle w:val="Normal"/>
      <w:rPr/>
    </w:pPr>
    <w:r>
      <w:rPr/>
    </w:r>
  </w:p>
  <w:p>
    <w:pPr>
      <w:pStyle w:val="Normal"/>
      <w:rPr/>
    </w:pPr>
    <w:r>
      <w:rPr/>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65"/>
        </w:tabs>
        <w:ind w:left="1065" w:hanging="360"/>
      </w:pPr>
      <w:rPr>
        <w:rFonts w:ascii="Times New Roman" w:hAnsi="Times New Roman" w:cs="Times New Roman" w:hint="default"/>
        <w:b w:val="false"/>
        <w:rFonts w:cs="Times New Roman"/>
      </w:rPr>
    </w:lvl>
    <w:lvl w:ilvl="1">
      <w:start w:val="1"/>
      <w:numFmt w:val="bullet"/>
      <w:lvlText w:val="o"/>
      <w:lvlJc w:val="left"/>
      <w:pPr>
        <w:tabs>
          <w:tab w:val="num" w:pos="1785"/>
        </w:tabs>
        <w:ind w:left="1785" w:hanging="360"/>
      </w:pPr>
      <w:rPr>
        <w:rFonts w:ascii="Courier New" w:hAnsi="Courier New" w:cs="Courier New" w:hint="default"/>
        <w:rFonts w:cs="Courier New"/>
      </w:rPr>
    </w:lvl>
    <w:lvl w:ilvl="2">
      <w:start w:val="1"/>
      <w:numFmt w:val="bullet"/>
      <w:lvlText w:val=""/>
      <w:lvlJc w:val="left"/>
      <w:pPr>
        <w:tabs>
          <w:tab w:val="num" w:pos="2505"/>
        </w:tabs>
        <w:ind w:left="2505" w:hanging="360"/>
      </w:pPr>
      <w:rPr>
        <w:rFonts w:ascii="Wingdings" w:hAnsi="Wingdings" w:cs="Wingdings" w:hint="default"/>
        <w:rFonts w:cs="Wingdings"/>
      </w:rPr>
    </w:lvl>
    <w:lvl w:ilvl="3">
      <w:start w:val="1"/>
      <w:numFmt w:val="bullet"/>
      <w:lvlText w:val=""/>
      <w:lvlJc w:val="left"/>
      <w:pPr>
        <w:tabs>
          <w:tab w:val="num" w:pos="3225"/>
        </w:tabs>
        <w:ind w:left="3225" w:hanging="360"/>
      </w:pPr>
      <w:rPr>
        <w:rFonts w:ascii="Symbol" w:hAnsi="Symbol" w:cs="Symbol" w:hint="default"/>
        <w:rFonts w:cs="Symbol"/>
      </w:rPr>
    </w:lvl>
    <w:lvl w:ilvl="4">
      <w:start w:val="1"/>
      <w:numFmt w:val="bullet"/>
      <w:lvlText w:val="o"/>
      <w:lvlJc w:val="left"/>
      <w:pPr>
        <w:tabs>
          <w:tab w:val="num" w:pos="3945"/>
        </w:tabs>
        <w:ind w:left="3945" w:hanging="360"/>
      </w:pPr>
      <w:rPr>
        <w:rFonts w:ascii="Courier New" w:hAnsi="Courier New" w:cs="Courier New" w:hint="default"/>
        <w:rFonts w:cs="Courier New"/>
      </w:rPr>
    </w:lvl>
    <w:lvl w:ilvl="5">
      <w:start w:val="1"/>
      <w:numFmt w:val="bullet"/>
      <w:lvlText w:val=""/>
      <w:lvlJc w:val="left"/>
      <w:pPr>
        <w:tabs>
          <w:tab w:val="num" w:pos="4665"/>
        </w:tabs>
        <w:ind w:left="4665" w:hanging="360"/>
      </w:pPr>
      <w:rPr>
        <w:rFonts w:ascii="Wingdings" w:hAnsi="Wingdings" w:cs="Wingdings" w:hint="default"/>
        <w:rFonts w:cs="Wingdings"/>
      </w:rPr>
    </w:lvl>
    <w:lvl w:ilvl="6">
      <w:start w:val="1"/>
      <w:numFmt w:val="bullet"/>
      <w:lvlText w:val=""/>
      <w:lvlJc w:val="left"/>
      <w:pPr>
        <w:tabs>
          <w:tab w:val="num" w:pos="5385"/>
        </w:tabs>
        <w:ind w:left="5385" w:hanging="360"/>
      </w:pPr>
      <w:rPr>
        <w:rFonts w:ascii="Symbol" w:hAnsi="Symbol" w:cs="Symbol" w:hint="default"/>
        <w:rFonts w:cs="Symbol"/>
      </w:rPr>
    </w:lvl>
    <w:lvl w:ilvl="7">
      <w:start w:val="1"/>
      <w:numFmt w:val="bullet"/>
      <w:lvlText w:val="o"/>
      <w:lvlJc w:val="left"/>
      <w:pPr>
        <w:tabs>
          <w:tab w:val="num" w:pos="6105"/>
        </w:tabs>
        <w:ind w:left="6105" w:hanging="360"/>
      </w:pPr>
      <w:rPr>
        <w:rFonts w:ascii="Courier New" w:hAnsi="Courier New" w:cs="Courier New" w:hint="default"/>
        <w:rFonts w:cs="Courier New"/>
      </w:rPr>
    </w:lvl>
    <w:lvl w:ilvl="8">
      <w:start w:val="1"/>
      <w:numFmt w:val="bullet"/>
      <w:lvlText w:val=""/>
      <w:lvlJc w:val="left"/>
      <w:pPr>
        <w:tabs>
          <w:tab w:val="num" w:pos="6825"/>
        </w:tabs>
        <w:ind w:left="6825" w:hanging="360"/>
      </w:pPr>
      <w:rPr>
        <w:rFonts w:ascii="Wingdings" w:hAnsi="Wingdings" w:cs="Wingdings" w:hint="default"/>
        <w:rFonts w:cs="Wingdings"/>
      </w:rPr>
    </w:lvl>
  </w:abstractNum>
  <w:abstractNum w:abstractNumId="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lvl w:ilvl="0">
      <w:start w:val="1"/>
      <w:numFmt w:val="decimal"/>
      <w:lvlText w:val="%1."/>
      <w:lvlJc w:val="left"/>
      <w:pPr>
        <w:ind w:left="360" w:hanging="360"/>
      </w:pPr>
    </w:lvl>
    <w:lvl w:ilvl="1">
      <w:start w:val="1"/>
      <w:numFmt w:val="decimal"/>
      <w:lvlText w:val="%1.%2."/>
      <w:lvlJc w:val="left"/>
      <w:pPr>
        <w:ind w:left="1068" w:hanging="360"/>
      </w:pPr>
      <w:rPr>
        <w:sz w:val="24"/>
        <w:b/>
        <w:rFonts w:cs="Times New Roman"/>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lvl w:ilvl="0">
      <w:start w:val="1"/>
      <w:numFmt w:val="decimal"/>
      <w:lvlText w:val="%1."/>
      <w:lvlJc w:val="left"/>
      <w:pPr>
        <w:ind w:left="720" w:hanging="360"/>
      </w:pPr>
      <w:rPr>
        <w:sz w:val="24"/>
        <w:b/>
        <w:rFonts w:eastAsia="Times New Roman"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1080" w:hanging="360"/>
      </w:pPr>
      <w:rPr>
        <w:rFonts w:ascii="Times New Roman" w:hAnsi="Times New Roman" w:cs="Times New Roman" w:hint="default"/>
        <w:sz w:val="24"/>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doNotExpandShiftReturn/>
  </w:compat>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Arial Unicode MS" w:cs="Times New Roman"/>
      <w:color w:val="auto"/>
      <w:kern w:val="2"/>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qFormat/>
    <w:rPr>
      <w:rFonts w:eastAsia="Arial Unicode MS"/>
      <w:kern w:val="2"/>
      <w:sz w:val="24"/>
      <w:szCs w:val="24"/>
    </w:rPr>
  </w:style>
  <w:style w:type="character" w:styleId="FooterChar" w:customStyle="1">
    <w:name w:val="Footer Char"/>
    <w:qFormat/>
    <w:rPr>
      <w:rFonts w:eastAsia="Arial Unicode MS"/>
      <w:kern w:val="2"/>
      <w:sz w:val="24"/>
      <w:szCs w:val="24"/>
    </w:rPr>
  </w:style>
  <w:style w:type="character" w:styleId="Annotationreference">
    <w:name w:val="annotation reference"/>
    <w:qFormat/>
    <w:rPr>
      <w:sz w:val="16"/>
      <w:szCs w:val="16"/>
    </w:rPr>
  </w:style>
  <w:style w:type="character" w:styleId="CommentTextChar" w:customStyle="1">
    <w:name w:val="Comment Text Char"/>
    <w:qFormat/>
    <w:rPr>
      <w:rFonts w:eastAsia="Arial Unicode MS"/>
      <w:kern w:val="2"/>
    </w:rPr>
  </w:style>
  <w:style w:type="character" w:styleId="CommentSubjectChar" w:customStyle="1">
    <w:name w:val="Comment Subject Char"/>
    <w:qFormat/>
    <w:rPr>
      <w:rFonts w:eastAsia="Arial Unicode MS"/>
      <w:b/>
      <w:bCs/>
      <w:kern w:val="2"/>
    </w:rPr>
  </w:style>
  <w:style w:type="character" w:styleId="BalloonTextChar" w:customStyle="1">
    <w:name w:val="Balloon Text Char"/>
    <w:qFormat/>
    <w:rPr>
      <w:rFonts w:ascii="Tahoma" w:hAnsi="Tahoma" w:eastAsia="Arial Unicode MS" w:cs="Tahoma"/>
      <w:kern w:val="2"/>
      <w:sz w:val="16"/>
      <w:szCs w:val="16"/>
    </w:rPr>
  </w:style>
  <w:style w:type="character" w:styleId="ListParagraphChar" w:customStyle="1">
    <w:name w:val="List Paragraph Char"/>
    <w:qFormat/>
    <w:rPr>
      <w:rFonts w:ascii="Calibri" w:hAnsi="Calibri" w:eastAsia="Calibri"/>
      <w:sz w:val="22"/>
      <w:lang w:val="pl-PL"/>
    </w:rPr>
  </w:style>
  <w:style w:type="character" w:styleId="FootnoteTextChar" w:customStyle="1">
    <w:name w:val="Footnote Text Char"/>
    <w:qFormat/>
    <w:rPr>
      <w:rFonts w:eastAsia="Arial Unicode MS"/>
      <w:kern w:val="2"/>
    </w:rPr>
  </w:style>
  <w:style w:type="character" w:styleId="FootnoteTextChar1" w:customStyle="1">
    <w:name w:val="Footnote Text Char1"/>
    <w:qFormat/>
    <w:rPr>
      <w:rFonts w:ascii="Verdana" w:hAnsi="Verdana" w:eastAsia="Calibri"/>
    </w:rPr>
  </w:style>
  <w:style w:type="character" w:styleId="FootnoteCharacters" w:customStyle="1">
    <w:name w:val="Footnote Characters"/>
    <w:qFormat/>
    <w:rPr>
      <w:rFonts w:cs="Times New Roman"/>
      <w:vertAlign w:val="superscript"/>
    </w:rPr>
  </w:style>
  <w:style w:type="character" w:styleId="FootnoteAnchor" w:customStyle="1">
    <w:name w:val="Footnote Anchor"/>
    <w:rPr>
      <w:rFonts w:cs="Times New Roman"/>
      <w:vertAlign w:val="superscript"/>
    </w:rPr>
  </w:style>
  <w:style w:type="character" w:styleId="Appleconvertedspace" w:customStyle="1">
    <w:name w:val="apple-converted-space"/>
    <w:basedOn w:val="DefaultParagraphFont"/>
    <w:qFormat/>
    <w:rPr/>
  </w:style>
  <w:style w:type="character" w:styleId="NumberingSymbols" w:customStyle="1">
    <w:name w:val="Numbering Symbols"/>
    <w:qForma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eaderandFooter" w:customStyle="1">
    <w:name w:val="Header and Footer"/>
    <w:basedOn w:val="Normal"/>
    <w:qFormat/>
    <w:pPr/>
    <w:rPr/>
  </w:style>
  <w:style w:type="paragraph" w:styleId="Header">
    <w:name w:val="Header"/>
    <w:basedOn w:val="Normal"/>
    <w:pPr>
      <w:tabs>
        <w:tab w:val="clear" w:pos="709"/>
        <w:tab w:val="center" w:pos="4535" w:leader="none"/>
        <w:tab w:val="right" w:pos="9071" w:leader="none"/>
      </w:tabs>
    </w:pPr>
    <w:rPr/>
  </w:style>
  <w:style w:type="paragraph" w:styleId="Footer">
    <w:name w:val="Footer"/>
    <w:basedOn w:val="Normal"/>
    <w:pPr>
      <w:tabs>
        <w:tab w:val="clear" w:pos="709"/>
        <w:tab w:val="center" w:pos="4535" w:leader="none"/>
        <w:tab w:val="right" w:pos="9071"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Tahoma" w:hAnsi="Tahoma"/>
      <w:sz w:val="16"/>
      <w:szCs w:val="16"/>
    </w:rPr>
  </w:style>
  <w:style w:type="paragraph" w:styleId="Default" w:customStyle="1">
    <w:name w:val="Default"/>
    <w:qFormat/>
    <w:pPr>
      <w:widowControl/>
      <w:bidi w:val="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qFormat/>
    <w:pPr>
      <w:widowControl/>
      <w:suppressAutoHyphens w:val="false"/>
      <w:spacing w:lineRule="auto" w:line="276" w:before="0" w:after="200"/>
      <w:ind w:left="720" w:hanging="0"/>
    </w:pPr>
    <w:rPr>
      <w:rFonts w:ascii="Calibri" w:hAnsi="Calibri" w:eastAsia="Calibri"/>
      <w:kern w:val="0"/>
      <w:sz w:val="22"/>
      <w:szCs w:val="20"/>
      <w:lang w:val="pl-PL"/>
    </w:rPr>
  </w:style>
  <w:style w:type="paragraph" w:styleId="Footnote">
    <w:name w:val="Footnote Text"/>
    <w:basedOn w:val="Normal"/>
    <w:pPr>
      <w:widowControl/>
      <w:suppressAutoHyphens w:val="false"/>
      <w:ind w:firstLine="360"/>
      <w:jc w:val="both"/>
    </w:pPr>
    <w:rPr>
      <w:rFonts w:ascii="Verdana" w:hAnsi="Verdana" w:eastAsia="Calibri"/>
      <w:kern w:val="0"/>
      <w:sz w:val="20"/>
      <w:szCs w:val="20"/>
    </w:rPr>
  </w:style>
  <w:style w:type="paragraph" w:styleId="NormalWeb">
    <w:name w:val="Normal (Web)"/>
    <w:basedOn w:val="Normal"/>
    <w:qFormat/>
    <w:pPr>
      <w:widowControl/>
      <w:suppressAutoHyphens w:val="false"/>
      <w:spacing w:before="280" w:after="280"/>
    </w:pPr>
    <w:rPr>
      <w:rFonts w:eastAsia="Times New Roman"/>
      <w:kern w:val="0"/>
    </w:rPr>
  </w:style>
  <w:style w:type="paragraph" w:styleId="NoSpacing">
    <w:name w:val="No Spacing"/>
    <w:qFormat/>
    <w:pPr>
      <w:widowControl w:val="false"/>
      <w:suppressAutoHyphens w:val="true"/>
      <w:bidi w:val="0"/>
      <w:jc w:val="left"/>
    </w:pPr>
    <w:rPr>
      <w:rFonts w:ascii="Times New Roman" w:hAnsi="Times New Roman" w:eastAsia="Arial Unicode MS" w:cs="Times New Roman"/>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LibreOffice/6.3.0.4$Windows_X86_64 LibreOffice_project/057fc023c990d676a43019934386b85b21a9ee99</Application>
  <Pages>13</Pages>
  <Words>3878</Words>
  <Characters>22146</Characters>
  <CharactersWithSpaces>25667</CharactersWithSpaces>
  <Paragraphs>518</Paragraphs>
  <Company>nsz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2022-01-27T11:29:00Z</dcterms:created>
  <dc:creator>k01804</dc:creator>
  <dc:description/>
  <dc:language>en-GB</dc:language>
  <cp:lastModifiedBy/>
  <cp:lastPrinted>2020-02-14T11:11:00Z</cp:lastPrinted>
  <dcterms:modified xsi:type="dcterms:W3CDTF">2022-01-27T13:34:35Z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nsz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