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F3" w:rsidRPr="00F47FF3" w:rsidRDefault="0070156E" w:rsidP="00F47FF3">
      <w:pPr>
        <w:pStyle w:val="NoSpacing"/>
      </w:pPr>
      <w:r w:rsidRPr="00F47FF3">
        <w:t>Република Србија</w:t>
      </w:r>
    </w:p>
    <w:p w:rsidR="00F47FF3" w:rsidRPr="00F47FF3" w:rsidRDefault="0070156E" w:rsidP="00F47FF3">
      <w:pPr>
        <w:pStyle w:val="NoSpacing"/>
      </w:pPr>
      <w:r w:rsidRPr="00F47FF3">
        <w:t xml:space="preserve">Општина </w:t>
      </w:r>
      <w:r w:rsidR="00F47FF3" w:rsidRPr="00F47FF3">
        <w:t>Ћићевац</w:t>
      </w:r>
    </w:p>
    <w:p w:rsidR="00F47FF3" w:rsidRPr="00F47FF3" w:rsidRDefault="0070156E" w:rsidP="00F47FF3">
      <w:pPr>
        <w:pStyle w:val="NoSpacing"/>
      </w:pPr>
      <w:r w:rsidRPr="00F47FF3">
        <w:t>ОД</w:t>
      </w:r>
      <w:r w:rsidR="00F47FF3" w:rsidRPr="00F47FF3">
        <w:t xml:space="preserve">СЕК </w:t>
      </w:r>
      <w:r w:rsidRPr="00F47FF3">
        <w:t xml:space="preserve"> ЗА БУЏЕТ, ФИНАНСИЈЕ </w:t>
      </w:r>
      <w:r w:rsidR="00F47FF3" w:rsidRPr="00F47FF3">
        <w:t xml:space="preserve">, ЈАВНЕ НАБАВКЕ </w:t>
      </w:r>
    </w:p>
    <w:p w:rsidR="00F47FF3" w:rsidRPr="00F47FF3" w:rsidRDefault="00F47FF3" w:rsidP="00F47FF3">
      <w:pPr>
        <w:pStyle w:val="NoSpacing"/>
      </w:pPr>
      <w:r w:rsidRPr="00F47FF3">
        <w:t>И КОМУНАЛНО ИНСПЕКЦИЈСКЕ ПОСЛОВЕ</w:t>
      </w:r>
    </w:p>
    <w:p w:rsidR="00F47FF3" w:rsidRPr="00F47FF3" w:rsidRDefault="0070156E" w:rsidP="00F47FF3">
      <w:pPr>
        <w:pStyle w:val="NoSpacing"/>
      </w:pPr>
      <w:r w:rsidRPr="00F47FF3">
        <w:t xml:space="preserve"> Број: </w:t>
      </w:r>
      <w:r w:rsidR="00F47FF3" w:rsidRPr="00F47FF3">
        <w:t>400-3</w:t>
      </w:r>
      <w:r w:rsidR="002516E2">
        <w:t>4</w:t>
      </w:r>
      <w:r w:rsidR="00F47FF3" w:rsidRPr="00F47FF3">
        <w:t>/1</w:t>
      </w:r>
      <w:r w:rsidR="002516E2">
        <w:t>8</w:t>
      </w:r>
      <w:r w:rsidR="00F47FF3" w:rsidRPr="00F47FF3">
        <w:t>-04</w:t>
      </w:r>
    </w:p>
    <w:p w:rsidR="00F47FF3" w:rsidRPr="00F47FF3" w:rsidRDefault="0070156E" w:rsidP="00F47FF3">
      <w:pPr>
        <w:pStyle w:val="NoSpacing"/>
      </w:pPr>
      <w:r w:rsidRPr="00F47FF3">
        <w:t xml:space="preserve"> Дана: </w:t>
      </w:r>
      <w:r w:rsidR="002516E2">
        <w:t>0</w:t>
      </w:r>
      <w:r w:rsidR="0008313B">
        <w:t>6</w:t>
      </w:r>
      <w:r w:rsidRPr="00F47FF3">
        <w:t>.</w:t>
      </w:r>
      <w:r w:rsidR="0008313B">
        <w:t>11</w:t>
      </w:r>
      <w:r w:rsidRPr="00F47FF3">
        <w:t>.201</w:t>
      </w:r>
      <w:r w:rsidR="002516E2">
        <w:t>8</w:t>
      </w:r>
      <w:r w:rsidRPr="00F47FF3">
        <w:t xml:space="preserve">. године </w:t>
      </w:r>
    </w:p>
    <w:p w:rsidR="00F47FF3" w:rsidRDefault="00F47FF3" w:rsidP="00F47FF3">
      <w:pPr>
        <w:pStyle w:val="NoSpacing"/>
      </w:pPr>
      <w:r>
        <w:t xml:space="preserve"> </w:t>
      </w:r>
      <w:r w:rsidRPr="00F47FF3">
        <w:t xml:space="preserve">Ћ И Ћ Е В А Ц </w:t>
      </w:r>
    </w:p>
    <w:p w:rsidR="00943C4A" w:rsidRPr="00943C4A" w:rsidRDefault="00943C4A" w:rsidP="00F47FF3">
      <w:pPr>
        <w:pStyle w:val="NoSpacing"/>
      </w:pPr>
    </w:p>
    <w:p w:rsidR="00F47FF3" w:rsidRPr="0008313B" w:rsidRDefault="0008313B" w:rsidP="00F47FF3">
      <w:pPr>
        <w:pStyle w:val="NoSpacing"/>
        <w:rPr>
          <w:b/>
        </w:rPr>
      </w:pPr>
      <w:r>
        <w:tab/>
      </w:r>
      <w:r>
        <w:tab/>
      </w:r>
      <w:r>
        <w:tab/>
      </w:r>
      <w:r>
        <w:tab/>
      </w:r>
      <w:r w:rsidR="00943C4A">
        <w:t xml:space="preserve">      </w:t>
      </w:r>
      <w:r w:rsidRPr="0008313B">
        <w:rPr>
          <w:b/>
        </w:rPr>
        <w:t xml:space="preserve">Р Е В И Д И Р А Н О </w:t>
      </w:r>
    </w:p>
    <w:p w:rsidR="00F47FF3" w:rsidRPr="0008313B" w:rsidRDefault="00F47FF3" w:rsidP="00F47FF3">
      <w:pPr>
        <w:pStyle w:val="NoSpacing"/>
        <w:rPr>
          <w:b/>
        </w:rPr>
      </w:pPr>
    </w:p>
    <w:p w:rsidR="00DD39E0" w:rsidRPr="00845376" w:rsidRDefault="0070156E" w:rsidP="00DD39E0">
      <w:pPr>
        <w:jc w:val="center"/>
        <w:rPr>
          <w:b/>
        </w:rPr>
      </w:pPr>
      <w:r w:rsidRPr="00845376">
        <w:rPr>
          <w:b/>
        </w:rPr>
        <w:t xml:space="preserve">УПУТСТВО ЗА ПРИПРЕМУ </w:t>
      </w:r>
      <w:r w:rsidR="00DD39E0" w:rsidRPr="00845376">
        <w:rPr>
          <w:b/>
        </w:rPr>
        <w:t xml:space="preserve">НАЦРТА </w:t>
      </w:r>
      <w:r w:rsidRPr="00845376">
        <w:rPr>
          <w:b/>
        </w:rPr>
        <w:t xml:space="preserve">БУЏЕТА ОПШТИНЕ </w:t>
      </w:r>
      <w:r w:rsidR="00DD39E0" w:rsidRPr="00845376">
        <w:rPr>
          <w:b/>
        </w:rPr>
        <w:t xml:space="preserve">ЋИЋЕВАЦ </w:t>
      </w:r>
      <w:r w:rsidRPr="00845376">
        <w:rPr>
          <w:b/>
        </w:rPr>
        <w:t xml:space="preserve"> ЗА 201</w:t>
      </w:r>
      <w:r w:rsidR="002516E2" w:rsidRPr="00845376">
        <w:rPr>
          <w:b/>
        </w:rPr>
        <w:t>9</w:t>
      </w:r>
      <w:r w:rsidRPr="00845376">
        <w:rPr>
          <w:b/>
        </w:rPr>
        <w:t xml:space="preserve">.ГОДИНУ СА </w:t>
      </w:r>
      <w:r w:rsidR="00DD39E0" w:rsidRPr="00845376">
        <w:rPr>
          <w:b/>
        </w:rPr>
        <w:t xml:space="preserve">                  </w:t>
      </w:r>
      <w:r w:rsidR="002516E2" w:rsidRPr="00845376">
        <w:rPr>
          <w:b/>
        </w:rPr>
        <w:t>ПРОЈЕКЦИЈАМА ЗА 2020</w:t>
      </w:r>
      <w:r w:rsidRPr="00845376">
        <w:rPr>
          <w:b/>
        </w:rPr>
        <w:t>. И 202</w:t>
      </w:r>
      <w:r w:rsidR="002516E2" w:rsidRPr="00845376">
        <w:rPr>
          <w:b/>
        </w:rPr>
        <w:t>1</w:t>
      </w:r>
      <w:r w:rsidRPr="00845376">
        <w:rPr>
          <w:b/>
        </w:rPr>
        <w:t>. ГОДИНУ</w:t>
      </w:r>
    </w:p>
    <w:p w:rsidR="00DD39E0" w:rsidRPr="00DD39E0" w:rsidRDefault="00DD39E0"/>
    <w:p w:rsidR="008545A0" w:rsidRDefault="0070156E">
      <w:r>
        <w:t xml:space="preserve"> УВОД </w:t>
      </w:r>
    </w:p>
    <w:p w:rsidR="00462985" w:rsidRDefault="00943C4A" w:rsidP="00462985">
      <w:pPr>
        <w:pStyle w:val="NoSpacing"/>
        <w:ind w:firstLine="720"/>
      </w:pPr>
      <w:r>
        <w:t xml:space="preserve"> У  складу са ч</w:t>
      </w:r>
      <w:r w:rsidR="0070156E">
        <w:t xml:space="preserve">ланом 36а. Закона о буџетском систему („Сл. гласник РС“, бр. 54/2009, 73/2010, 101/2010, 101/2011, 93/2012, 62/2013-испр, 108/2013, 142/2014, 68/2015 (др.закон), 103/2015 </w:t>
      </w:r>
      <w:r w:rsidR="002516E2">
        <w:t>,</w:t>
      </w:r>
      <w:r w:rsidR="0070156E">
        <w:t xml:space="preserve"> 99/2016</w:t>
      </w:r>
      <w:r w:rsidR="002516E2">
        <w:t xml:space="preserve"> и 113/17</w:t>
      </w:r>
      <w:r w:rsidR="0070156E">
        <w:t xml:space="preserve">) </w:t>
      </w:r>
      <w:r>
        <w:t>Министар је донео Упутство за припрему одлуке о буџету локалне власти за 2019. годину , са пројекцијама за 2020. и 2021. годину</w:t>
      </w:r>
      <w:r w:rsidR="00462985">
        <w:t>.</w:t>
      </w:r>
    </w:p>
    <w:p w:rsidR="00943C4A" w:rsidRDefault="00943C4A" w:rsidP="00462985">
      <w:pPr>
        <w:pStyle w:val="NoSpacing"/>
        <w:ind w:firstLine="720"/>
      </w:pPr>
      <w:r>
        <w:t>У буџетској 2019. години примењиваће се иста униформна програмска структура за ЈЛС као и у буџетском циклусу за 2018. годину.</w:t>
      </w:r>
    </w:p>
    <w:p w:rsidR="00943C4A" w:rsidRDefault="00943C4A" w:rsidP="00462985">
      <w:pPr>
        <w:pStyle w:val="NoSpacing"/>
        <w:ind w:firstLine="720"/>
      </w:pPr>
      <w:r>
        <w:t xml:space="preserve">Упутство за израду програмског буџета , као и Анекс 5 којим је дефинисана униформна програмска структура буџета ЈЛС за израду Одлуке о буџету ЈЛС за 2019. годину и документ који садржи циљеве програма </w:t>
      </w:r>
      <w:r w:rsidR="00574913">
        <w:t>и програмских активности и листу униформних индикатора могу се наћи на сајту Министарства финансија.</w:t>
      </w:r>
    </w:p>
    <w:p w:rsidR="00574913" w:rsidRDefault="00574913" w:rsidP="00462985">
      <w:pPr>
        <w:pStyle w:val="NoSpacing"/>
        <w:ind w:firstLine="720"/>
      </w:pPr>
      <w:r>
        <w:t>У контексту исказивања установа као индиректних корисника буџетских средстава у одлуци о буџету , не могу се спајати установе које обављају различите делатности имајући у виду да су делатности које обављају ове установе уређене различитим прописима , као и да се коефицијенти и други елементи за обрачун и исплату плата запослених у установама утврђују у зависности од врсте делатности установе.</w:t>
      </w:r>
    </w:p>
    <w:p w:rsidR="00574913" w:rsidRDefault="00574913" w:rsidP="00462985">
      <w:pPr>
        <w:pStyle w:val="NoSpacing"/>
        <w:ind w:firstLine="720"/>
      </w:pPr>
      <w:r>
        <w:t>С обзиром на то да је законодавац оставио могућност да установе до даљњег могу да користе сопствене приходе у складу са законом , надлежни орган треба да преиспита основаност и оправданост постојања рачуна сопствених прихода индиректних корисника буџетских средстава (установе културе, спорта и сл.).</w:t>
      </w:r>
    </w:p>
    <w:p w:rsidR="00574913" w:rsidRDefault="00574913" w:rsidP="00462985">
      <w:pPr>
        <w:pStyle w:val="NoSpacing"/>
        <w:ind w:firstLine="720"/>
      </w:pPr>
      <w:r>
        <w:t>Јавне приходе остварене по основу пружања услуга боравка деце у предшколским установама треба планирати на извору 01- Приходи из буџета.</w:t>
      </w:r>
    </w:p>
    <w:p w:rsidR="00574913" w:rsidRDefault="00574913" w:rsidP="00462985">
      <w:pPr>
        <w:pStyle w:val="NoSpacing"/>
        <w:ind w:firstLine="720"/>
      </w:pPr>
      <w:r>
        <w:t xml:space="preserve">Неопходно је да надлежни орган локалне власти на годишњем нивоу </w:t>
      </w:r>
      <w:r w:rsidR="00E85D6A">
        <w:t>донесе план поступног увођења родно одговорног буџетирања, којим ће одредити једног или више корисника буџетских средстава за који /које ће се дефинисати најмање један родно одговорни циљ, и одговарајући показатељи/индикатори.</w:t>
      </w:r>
    </w:p>
    <w:p w:rsidR="00E85D6A" w:rsidRDefault="00E85D6A" w:rsidP="00462985">
      <w:pPr>
        <w:pStyle w:val="NoSpacing"/>
        <w:ind w:firstLine="720"/>
      </w:pPr>
      <w:r>
        <w:t>Израда грађанског буџета , као инструмента за повећање транспарентног исказивања на који начин и у које сврхе се користе јавна средства , представља својеврсан водич за грађана којима треба да се приближе  надлажности и начин финансирања послова који се обављају у општини.</w:t>
      </w:r>
    </w:p>
    <w:p w:rsidR="00E85D6A" w:rsidRDefault="00E85D6A" w:rsidP="00462985">
      <w:pPr>
        <w:pStyle w:val="NoSpacing"/>
        <w:ind w:firstLine="720"/>
      </w:pPr>
      <w:r>
        <w:lastRenderedPageBreak/>
        <w:t>У циљу информисања и појашњења грађанима о начину трошења и за које сврхе се троше буџетска средства , потребно је да се буџет прикаже на једноставан и разумљив начин и објави на интернет страници општине.</w:t>
      </w:r>
    </w:p>
    <w:p w:rsidR="00E85D6A" w:rsidRDefault="00E85D6A" w:rsidP="00462985">
      <w:pPr>
        <w:pStyle w:val="NoSpacing"/>
        <w:ind w:firstLine="720"/>
      </w:pPr>
      <w:r>
        <w:t xml:space="preserve">У поступку припреме и доношења буџета , треба планирати расходе за реализацију мера и активности утврђених посебним законима , у оквиру одређених програма, програмских активности, односно пројеката </w:t>
      </w:r>
      <w:r w:rsidR="00D33B6E">
        <w:t xml:space="preserve">, с тим што се исти могу извршавати само до висине апропријације утврђене одлуком о буџету , без обзира на то да ли су ови приходи остварени у већем или мањем обиму од планиораног. </w:t>
      </w:r>
    </w:p>
    <w:p w:rsidR="00D33B6E" w:rsidRPr="00943C4A" w:rsidRDefault="00D33B6E" w:rsidP="00462985">
      <w:pPr>
        <w:pStyle w:val="NoSpacing"/>
        <w:ind w:firstLine="720"/>
      </w:pPr>
      <w:r>
        <w:t>Уколико се у току године остваре наведени приходи у обиму већем од планираног актом у буџету, исти се могу користити и за извршавање других врста расхода, с обзиром на то да представљају опште приходе буџета којима се финансира јавна потрошња  и који немају предходно утврђену намену.</w:t>
      </w:r>
    </w:p>
    <w:p w:rsidR="008545A0" w:rsidRDefault="0071564B" w:rsidP="00943C4A">
      <w:pPr>
        <w:pStyle w:val="NoSpacing"/>
      </w:pPr>
      <w:r>
        <w:tab/>
      </w:r>
    </w:p>
    <w:p w:rsidR="008545A0" w:rsidRPr="00EC1437" w:rsidRDefault="0070156E" w:rsidP="008545A0">
      <w:pPr>
        <w:ind w:left="720"/>
        <w:rPr>
          <w:b/>
        </w:rPr>
      </w:pPr>
      <w:r w:rsidRPr="00EC1437">
        <w:rPr>
          <w:b/>
        </w:rPr>
        <w:t xml:space="preserve">I ОСНОВНЕ ЕКОНОМСКЕ ПРЕТПОСТАВКЕ И СМЕРНИЦЕ ЗА ПРИПРЕМУ НАЦРТА БУЏЕТА ОПШТИНЕ </w:t>
      </w:r>
      <w:r w:rsidR="00A76B5E" w:rsidRPr="00EC1437">
        <w:rPr>
          <w:b/>
        </w:rPr>
        <w:t>ЋИЋЕВАЦ</w:t>
      </w:r>
      <w:r w:rsidRPr="00EC1437">
        <w:rPr>
          <w:b/>
        </w:rPr>
        <w:t xml:space="preserve"> ЗА 201</w:t>
      </w:r>
      <w:r w:rsidR="008D5CAF">
        <w:rPr>
          <w:b/>
        </w:rPr>
        <w:t>9</w:t>
      </w:r>
      <w:r w:rsidRPr="00EC1437">
        <w:rPr>
          <w:b/>
        </w:rPr>
        <w:t xml:space="preserve">. ГОДИНУ </w:t>
      </w:r>
    </w:p>
    <w:p w:rsidR="008F2941" w:rsidRDefault="0070156E" w:rsidP="009703B2">
      <w:pPr>
        <w:pStyle w:val="NoSpacing"/>
        <w:ind w:firstLine="720"/>
      </w:pPr>
      <w:r>
        <w:t>Основни циљеви економске и фискалне политике Владе Републике Србије у наредном средњорочном периоду су:</w:t>
      </w:r>
    </w:p>
    <w:p w:rsidR="0096602B" w:rsidRPr="0096602B" w:rsidRDefault="0096602B" w:rsidP="009703B2">
      <w:pPr>
        <w:pStyle w:val="NoSpacing"/>
        <w:ind w:firstLine="720"/>
      </w:pPr>
      <w:r>
        <w:t xml:space="preserve">- стратешка оријентација </w:t>
      </w:r>
      <w:r w:rsidR="0015136D">
        <w:t>Р</w:t>
      </w:r>
      <w:r>
        <w:t>епублике Србије на процес европских интеграција и са тим у вези програм економских реформи који подразумева стварање стабилног економског и монетарног окружења , развој тржишне економије;</w:t>
      </w:r>
    </w:p>
    <w:p w:rsidR="008F2941" w:rsidRDefault="0070156E" w:rsidP="009703B2">
      <w:pPr>
        <w:pStyle w:val="NoSpacing"/>
        <w:ind w:firstLine="720"/>
      </w:pPr>
      <w:r>
        <w:t xml:space="preserve"> </w:t>
      </w:r>
      <w:r w:rsidR="008F2941">
        <w:t>-</w:t>
      </w:r>
      <w:r>
        <w:t xml:space="preserve"> одржавање макроекономске стабилности уз даље смањење јавног дуга и његово враћање у одрживе оквире; </w:t>
      </w:r>
    </w:p>
    <w:p w:rsidR="00F16C1D" w:rsidRDefault="008F2941" w:rsidP="009703B2">
      <w:pPr>
        <w:pStyle w:val="NoSpacing"/>
        <w:ind w:firstLine="720"/>
      </w:pPr>
      <w:r>
        <w:t>-</w:t>
      </w:r>
      <w:r w:rsidR="0070156E">
        <w:t xml:space="preserve"> наставак примене структурних реформи, посебно у домену јавних предузећа, као и подизање ефикасности јавног сектора. </w:t>
      </w:r>
    </w:p>
    <w:p w:rsidR="0096602B" w:rsidRPr="0096602B" w:rsidRDefault="0096602B" w:rsidP="009703B2">
      <w:pPr>
        <w:pStyle w:val="NoSpacing"/>
        <w:ind w:firstLine="720"/>
      </w:pPr>
      <w:r>
        <w:t>Захваљујући мерама фискалне консолидације створен је простор за повећање капиталних инвестиција и повећање пензија и плата у једном делу јавног сектора .</w:t>
      </w:r>
    </w:p>
    <w:p w:rsidR="00F16C1D" w:rsidRDefault="0070156E" w:rsidP="00CC0A91">
      <w:pPr>
        <w:ind w:firstLine="720"/>
      </w:pPr>
      <w:r>
        <w:t xml:space="preserve">Основне макроекономске претпоставке за период 2017 – 2020. године дате су у следећој табели: </w:t>
      </w:r>
    </w:p>
    <w:p w:rsidR="008F2941" w:rsidRPr="00CC0A91" w:rsidRDefault="0070156E" w:rsidP="008F2941">
      <w:pPr>
        <w:ind w:left="720"/>
        <w:rPr>
          <w:b/>
        </w:rPr>
      </w:pPr>
      <w:r w:rsidRPr="00CC0A91">
        <w:rPr>
          <w:b/>
        </w:rPr>
        <w:t xml:space="preserve">Табела 1: Пројекција основних макроекономских показатеља Републике Србије </w:t>
      </w:r>
    </w:p>
    <w:tbl>
      <w:tblPr>
        <w:tblStyle w:val="TableGrid"/>
        <w:tblW w:w="9169" w:type="dxa"/>
        <w:tblInd w:w="720" w:type="dxa"/>
        <w:tblLook w:val="04A0"/>
      </w:tblPr>
      <w:tblGrid>
        <w:gridCol w:w="4066"/>
        <w:gridCol w:w="1275"/>
        <w:gridCol w:w="1276"/>
        <w:gridCol w:w="1276"/>
        <w:gridCol w:w="1276"/>
      </w:tblGrid>
      <w:tr w:rsidR="00817D20" w:rsidTr="00817D20">
        <w:tc>
          <w:tcPr>
            <w:tcW w:w="4066" w:type="dxa"/>
          </w:tcPr>
          <w:p w:rsidR="00817D20" w:rsidRPr="00DE0B24" w:rsidRDefault="006C4DD7" w:rsidP="008F2941">
            <w:pPr>
              <w:rPr>
                <w:b/>
              </w:rPr>
            </w:pPr>
            <w:r w:rsidRPr="00DE0B24">
              <w:rPr>
                <w:b/>
              </w:rPr>
              <w:t>Исказано у %</w:t>
            </w:r>
          </w:p>
        </w:tc>
        <w:tc>
          <w:tcPr>
            <w:tcW w:w="1275" w:type="dxa"/>
          </w:tcPr>
          <w:p w:rsidR="00817D20" w:rsidRPr="00D33B6E" w:rsidRDefault="006C4DD7" w:rsidP="00D33B6E">
            <w:pPr>
              <w:jc w:val="center"/>
            </w:pPr>
            <w:r>
              <w:t>201</w:t>
            </w:r>
            <w:r w:rsidR="00D33B6E">
              <w:t>8</w:t>
            </w:r>
          </w:p>
        </w:tc>
        <w:tc>
          <w:tcPr>
            <w:tcW w:w="1276" w:type="dxa"/>
          </w:tcPr>
          <w:p w:rsidR="00817D20" w:rsidRPr="00D33B6E" w:rsidRDefault="006C4DD7" w:rsidP="00D33B6E">
            <w:pPr>
              <w:jc w:val="center"/>
            </w:pPr>
            <w:r>
              <w:t>201</w:t>
            </w:r>
            <w:r w:rsidR="00D33B6E">
              <w:t>9</w:t>
            </w:r>
          </w:p>
        </w:tc>
        <w:tc>
          <w:tcPr>
            <w:tcW w:w="1276" w:type="dxa"/>
          </w:tcPr>
          <w:p w:rsidR="00817D20" w:rsidRPr="00D33B6E" w:rsidRDefault="006C4DD7" w:rsidP="00D33B6E">
            <w:pPr>
              <w:jc w:val="center"/>
            </w:pPr>
            <w:r>
              <w:t>20</w:t>
            </w:r>
            <w:r w:rsidR="00D33B6E">
              <w:t>20</w:t>
            </w:r>
          </w:p>
        </w:tc>
        <w:tc>
          <w:tcPr>
            <w:tcW w:w="1276" w:type="dxa"/>
          </w:tcPr>
          <w:p w:rsidR="00817D20" w:rsidRPr="00D33B6E" w:rsidRDefault="006C4DD7" w:rsidP="00D33B6E">
            <w:pPr>
              <w:jc w:val="center"/>
            </w:pPr>
            <w:r>
              <w:t>202</w:t>
            </w:r>
            <w:r w:rsidR="00D33B6E">
              <w:t>1</w:t>
            </w:r>
          </w:p>
        </w:tc>
      </w:tr>
      <w:tr w:rsidR="00817D20" w:rsidTr="00817D20">
        <w:tc>
          <w:tcPr>
            <w:tcW w:w="4066" w:type="dxa"/>
          </w:tcPr>
          <w:p w:rsidR="00817D20" w:rsidRPr="006C4DD7" w:rsidRDefault="006C4DD7" w:rsidP="008F2941">
            <w:r>
              <w:t>Стопа реалног раста БДП</w:t>
            </w:r>
          </w:p>
        </w:tc>
        <w:tc>
          <w:tcPr>
            <w:tcW w:w="1275" w:type="dxa"/>
          </w:tcPr>
          <w:p w:rsidR="00817D20" w:rsidRPr="00D33B6E" w:rsidRDefault="00D33B6E" w:rsidP="00DE0B24">
            <w:pPr>
              <w:jc w:val="right"/>
            </w:pPr>
            <w:r>
              <w:t>4,2</w:t>
            </w:r>
          </w:p>
        </w:tc>
        <w:tc>
          <w:tcPr>
            <w:tcW w:w="1276" w:type="dxa"/>
          </w:tcPr>
          <w:p w:rsidR="00817D20" w:rsidRPr="00D33B6E" w:rsidRDefault="00D33B6E" w:rsidP="00B566B9">
            <w:pPr>
              <w:jc w:val="right"/>
            </w:pPr>
            <w:r>
              <w:t>3,5</w:t>
            </w:r>
          </w:p>
        </w:tc>
        <w:tc>
          <w:tcPr>
            <w:tcW w:w="1276" w:type="dxa"/>
          </w:tcPr>
          <w:p w:rsidR="00817D20" w:rsidRPr="00D33B6E" w:rsidRDefault="00D33B6E" w:rsidP="000B47F1">
            <w:pPr>
              <w:jc w:val="right"/>
            </w:pPr>
            <w:r>
              <w:t>4,0</w:t>
            </w:r>
          </w:p>
        </w:tc>
        <w:tc>
          <w:tcPr>
            <w:tcW w:w="1276" w:type="dxa"/>
          </w:tcPr>
          <w:p w:rsidR="00817D20" w:rsidRPr="00D33B6E" w:rsidRDefault="00D33B6E" w:rsidP="000B47F1">
            <w:pPr>
              <w:jc w:val="right"/>
            </w:pPr>
            <w:r>
              <w:t>4,0</w:t>
            </w:r>
          </w:p>
        </w:tc>
      </w:tr>
      <w:tr w:rsidR="00817D20" w:rsidTr="00817D20">
        <w:tc>
          <w:tcPr>
            <w:tcW w:w="4066" w:type="dxa"/>
          </w:tcPr>
          <w:p w:rsidR="00817D20" w:rsidRPr="006C4DD7" w:rsidRDefault="006C4DD7" w:rsidP="008F2941">
            <w:r>
              <w:t>БДП у текућим тржишним ценама (у млрд РСД)</w:t>
            </w:r>
          </w:p>
        </w:tc>
        <w:tc>
          <w:tcPr>
            <w:tcW w:w="1275" w:type="dxa"/>
          </w:tcPr>
          <w:p w:rsidR="00817D20" w:rsidRPr="00D33B6E" w:rsidRDefault="00D33B6E" w:rsidP="00C144DD">
            <w:pPr>
              <w:jc w:val="right"/>
            </w:pPr>
            <w:r>
              <w:t>5074</w:t>
            </w:r>
          </w:p>
        </w:tc>
        <w:tc>
          <w:tcPr>
            <w:tcW w:w="1276" w:type="dxa"/>
          </w:tcPr>
          <w:p w:rsidR="00817D20" w:rsidRPr="00D33B6E" w:rsidRDefault="00D33B6E" w:rsidP="00C144DD">
            <w:pPr>
              <w:jc w:val="right"/>
            </w:pPr>
            <w:r>
              <w:t>5424</w:t>
            </w:r>
          </w:p>
        </w:tc>
        <w:tc>
          <w:tcPr>
            <w:tcW w:w="1276" w:type="dxa"/>
          </w:tcPr>
          <w:p w:rsidR="00817D20" w:rsidRPr="00D33B6E" w:rsidRDefault="00D33B6E" w:rsidP="000B47F1">
            <w:pPr>
              <w:jc w:val="right"/>
            </w:pPr>
            <w:r>
              <w:t>5832</w:t>
            </w:r>
          </w:p>
        </w:tc>
        <w:tc>
          <w:tcPr>
            <w:tcW w:w="1276" w:type="dxa"/>
          </w:tcPr>
          <w:p w:rsidR="00817D20" w:rsidRPr="00D33B6E" w:rsidRDefault="00D33B6E" w:rsidP="000B47F1">
            <w:pPr>
              <w:jc w:val="right"/>
            </w:pPr>
            <w:r>
              <w:t>6269</w:t>
            </w:r>
          </w:p>
        </w:tc>
      </w:tr>
      <w:tr w:rsidR="00817D20" w:rsidTr="00817D20">
        <w:tc>
          <w:tcPr>
            <w:tcW w:w="4066" w:type="dxa"/>
          </w:tcPr>
          <w:p w:rsidR="00817D20" w:rsidRPr="00F3228C" w:rsidRDefault="00F3228C" w:rsidP="008F2941">
            <w:pPr>
              <w:rPr>
                <w:b/>
              </w:rPr>
            </w:pPr>
            <w:r>
              <w:rPr>
                <w:b/>
              </w:rPr>
              <w:t>Извори раста: % промене у сталним ценама</w:t>
            </w:r>
          </w:p>
        </w:tc>
        <w:tc>
          <w:tcPr>
            <w:tcW w:w="1275" w:type="dxa"/>
          </w:tcPr>
          <w:p w:rsidR="00817D20" w:rsidRDefault="00817D20" w:rsidP="00DE0B24">
            <w:pPr>
              <w:jc w:val="right"/>
            </w:pPr>
          </w:p>
        </w:tc>
        <w:tc>
          <w:tcPr>
            <w:tcW w:w="1276" w:type="dxa"/>
          </w:tcPr>
          <w:p w:rsidR="00817D20" w:rsidRDefault="00817D20" w:rsidP="00B566B9">
            <w:pPr>
              <w:jc w:val="right"/>
            </w:pPr>
          </w:p>
        </w:tc>
        <w:tc>
          <w:tcPr>
            <w:tcW w:w="1276" w:type="dxa"/>
          </w:tcPr>
          <w:p w:rsidR="00817D20" w:rsidRDefault="00817D20" w:rsidP="000B47F1">
            <w:pPr>
              <w:jc w:val="right"/>
            </w:pPr>
          </w:p>
        </w:tc>
        <w:tc>
          <w:tcPr>
            <w:tcW w:w="1276" w:type="dxa"/>
          </w:tcPr>
          <w:p w:rsidR="00817D20" w:rsidRDefault="00817D20" w:rsidP="000B47F1">
            <w:pPr>
              <w:jc w:val="right"/>
            </w:pPr>
          </w:p>
        </w:tc>
      </w:tr>
      <w:tr w:rsidR="00817D20" w:rsidTr="00817D20">
        <w:tc>
          <w:tcPr>
            <w:tcW w:w="4066" w:type="dxa"/>
          </w:tcPr>
          <w:p w:rsidR="00817D20" w:rsidRPr="00DE0B24" w:rsidRDefault="00DE0B24" w:rsidP="008F2941">
            <w:r>
              <w:t>Лична потрошња</w:t>
            </w:r>
          </w:p>
        </w:tc>
        <w:tc>
          <w:tcPr>
            <w:tcW w:w="1275" w:type="dxa"/>
          </w:tcPr>
          <w:p w:rsidR="00817D20" w:rsidRPr="00D33B6E" w:rsidRDefault="00D33B6E" w:rsidP="00C144DD">
            <w:pPr>
              <w:jc w:val="right"/>
            </w:pPr>
            <w:r>
              <w:t>3,0</w:t>
            </w:r>
          </w:p>
        </w:tc>
        <w:tc>
          <w:tcPr>
            <w:tcW w:w="1276" w:type="dxa"/>
          </w:tcPr>
          <w:p w:rsidR="00817D20" w:rsidRPr="00D33B6E" w:rsidRDefault="00D33B6E" w:rsidP="00C144DD">
            <w:pPr>
              <w:jc w:val="right"/>
            </w:pPr>
            <w:r>
              <w:t>3,1</w:t>
            </w:r>
          </w:p>
        </w:tc>
        <w:tc>
          <w:tcPr>
            <w:tcW w:w="1276" w:type="dxa"/>
          </w:tcPr>
          <w:p w:rsidR="00817D20" w:rsidRPr="00D33B6E" w:rsidRDefault="00D33B6E" w:rsidP="000B47F1">
            <w:pPr>
              <w:jc w:val="right"/>
            </w:pPr>
            <w:r>
              <w:t>3,3</w:t>
            </w:r>
          </w:p>
        </w:tc>
        <w:tc>
          <w:tcPr>
            <w:tcW w:w="1276" w:type="dxa"/>
          </w:tcPr>
          <w:p w:rsidR="00817D20" w:rsidRPr="00D33B6E" w:rsidRDefault="00D33B6E" w:rsidP="000B47F1">
            <w:pPr>
              <w:jc w:val="right"/>
            </w:pPr>
            <w:r>
              <w:t>3,4</w:t>
            </w:r>
          </w:p>
        </w:tc>
      </w:tr>
      <w:tr w:rsidR="00817D20" w:rsidTr="00817D20">
        <w:tc>
          <w:tcPr>
            <w:tcW w:w="4066" w:type="dxa"/>
          </w:tcPr>
          <w:p w:rsidR="00817D20" w:rsidRPr="00DE0B24" w:rsidRDefault="00DE0B24" w:rsidP="008F2941">
            <w:r>
              <w:t xml:space="preserve">Државна потрошња </w:t>
            </w:r>
          </w:p>
        </w:tc>
        <w:tc>
          <w:tcPr>
            <w:tcW w:w="1275" w:type="dxa"/>
          </w:tcPr>
          <w:p w:rsidR="00817D20" w:rsidRPr="00D33B6E" w:rsidRDefault="00D33B6E" w:rsidP="00DE0B24">
            <w:pPr>
              <w:jc w:val="right"/>
            </w:pPr>
            <w:r>
              <w:t>3,5</w:t>
            </w:r>
          </w:p>
        </w:tc>
        <w:tc>
          <w:tcPr>
            <w:tcW w:w="1276" w:type="dxa"/>
          </w:tcPr>
          <w:p w:rsidR="00817D20" w:rsidRPr="00D33B6E" w:rsidRDefault="00D33B6E" w:rsidP="00130E5F">
            <w:pPr>
              <w:jc w:val="right"/>
            </w:pPr>
            <w:r>
              <w:t>1,9</w:t>
            </w:r>
          </w:p>
        </w:tc>
        <w:tc>
          <w:tcPr>
            <w:tcW w:w="1276" w:type="dxa"/>
          </w:tcPr>
          <w:p w:rsidR="00817D20" w:rsidRPr="00D33B6E" w:rsidRDefault="00D33B6E" w:rsidP="000B47F1">
            <w:pPr>
              <w:jc w:val="right"/>
            </w:pPr>
            <w:r>
              <w:t>1,7</w:t>
            </w:r>
          </w:p>
        </w:tc>
        <w:tc>
          <w:tcPr>
            <w:tcW w:w="1276" w:type="dxa"/>
          </w:tcPr>
          <w:p w:rsidR="00817D20" w:rsidRPr="00D33B6E" w:rsidRDefault="00D33B6E" w:rsidP="00130E5F">
            <w:pPr>
              <w:jc w:val="right"/>
            </w:pPr>
            <w:r>
              <w:t>2,4</w:t>
            </w:r>
          </w:p>
        </w:tc>
      </w:tr>
      <w:tr w:rsidR="00817D20" w:rsidTr="00817D20">
        <w:tc>
          <w:tcPr>
            <w:tcW w:w="4066" w:type="dxa"/>
          </w:tcPr>
          <w:p w:rsidR="00817D20" w:rsidRPr="00D33B6E" w:rsidRDefault="00D33B6E" w:rsidP="00D33B6E">
            <w:r>
              <w:t>И</w:t>
            </w:r>
            <w:r w:rsidR="00130E5F">
              <w:t xml:space="preserve">нвестиције у </w:t>
            </w:r>
            <w:r>
              <w:t>фиксни капитал</w:t>
            </w:r>
          </w:p>
        </w:tc>
        <w:tc>
          <w:tcPr>
            <w:tcW w:w="1275" w:type="dxa"/>
          </w:tcPr>
          <w:p w:rsidR="00817D20" w:rsidRPr="00D33B6E" w:rsidRDefault="00D33B6E" w:rsidP="00DE0B24">
            <w:pPr>
              <w:jc w:val="right"/>
            </w:pPr>
            <w:r>
              <w:t>9,8</w:t>
            </w:r>
          </w:p>
        </w:tc>
        <w:tc>
          <w:tcPr>
            <w:tcW w:w="1276" w:type="dxa"/>
          </w:tcPr>
          <w:p w:rsidR="00817D20" w:rsidRPr="00D33B6E" w:rsidRDefault="00D33B6E" w:rsidP="00B566B9">
            <w:pPr>
              <w:jc w:val="right"/>
            </w:pPr>
            <w:r>
              <w:t>5,6</w:t>
            </w:r>
          </w:p>
        </w:tc>
        <w:tc>
          <w:tcPr>
            <w:tcW w:w="1276" w:type="dxa"/>
          </w:tcPr>
          <w:p w:rsidR="00817D20" w:rsidRPr="00D33B6E" w:rsidRDefault="00D33B6E" w:rsidP="000B47F1">
            <w:pPr>
              <w:jc w:val="right"/>
            </w:pPr>
            <w:r>
              <w:t>5,8</w:t>
            </w:r>
          </w:p>
        </w:tc>
        <w:tc>
          <w:tcPr>
            <w:tcW w:w="1276" w:type="dxa"/>
          </w:tcPr>
          <w:p w:rsidR="00817D20" w:rsidRPr="00D33B6E" w:rsidRDefault="00D33B6E" w:rsidP="000B47F1">
            <w:pPr>
              <w:jc w:val="right"/>
            </w:pPr>
            <w:r>
              <w:t>6,0</w:t>
            </w:r>
          </w:p>
        </w:tc>
      </w:tr>
      <w:tr w:rsidR="00817D20" w:rsidTr="00817D20">
        <w:tc>
          <w:tcPr>
            <w:tcW w:w="4066" w:type="dxa"/>
          </w:tcPr>
          <w:p w:rsidR="00817D20" w:rsidRPr="00DE0B24" w:rsidRDefault="00DE0B24" w:rsidP="008F2941">
            <w:r>
              <w:t>Извоз роба и услуга</w:t>
            </w:r>
          </w:p>
        </w:tc>
        <w:tc>
          <w:tcPr>
            <w:tcW w:w="1275" w:type="dxa"/>
          </w:tcPr>
          <w:p w:rsidR="00817D20" w:rsidRPr="00D33B6E" w:rsidRDefault="00D33B6E" w:rsidP="00DE0B24">
            <w:pPr>
              <w:jc w:val="right"/>
            </w:pPr>
            <w:r>
              <w:t>9,2</w:t>
            </w:r>
          </w:p>
        </w:tc>
        <w:tc>
          <w:tcPr>
            <w:tcW w:w="1276" w:type="dxa"/>
          </w:tcPr>
          <w:p w:rsidR="00817D20" w:rsidRPr="00D33B6E" w:rsidRDefault="00D33B6E" w:rsidP="00B566B9">
            <w:pPr>
              <w:jc w:val="right"/>
            </w:pPr>
            <w:r>
              <w:t>9,5</w:t>
            </w:r>
          </w:p>
        </w:tc>
        <w:tc>
          <w:tcPr>
            <w:tcW w:w="1276" w:type="dxa"/>
          </w:tcPr>
          <w:p w:rsidR="00817D20" w:rsidRPr="00D33B6E" w:rsidRDefault="00D33B6E" w:rsidP="000B47F1">
            <w:pPr>
              <w:jc w:val="right"/>
            </w:pPr>
            <w:r>
              <w:t>9,5</w:t>
            </w:r>
          </w:p>
        </w:tc>
        <w:tc>
          <w:tcPr>
            <w:tcW w:w="1276" w:type="dxa"/>
          </w:tcPr>
          <w:p w:rsidR="00817D20" w:rsidRPr="00D33B6E" w:rsidRDefault="00D33B6E" w:rsidP="00130E5F">
            <w:pPr>
              <w:jc w:val="right"/>
            </w:pPr>
            <w:r>
              <w:t>9,2</w:t>
            </w:r>
          </w:p>
        </w:tc>
      </w:tr>
      <w:tr w:rsidR="00DE0B24" w:rsidTr="00817D20">
        <w:tc>
          <w:tcPr>
            <w:tcW w:w="4066" w:type="dxa"/>
          </w:tcPr>
          <w:p w:rsidR="00DE0B24" w:rsidRDefault="00DE0B24" w:rsidP="008F2941">
            <w:r>
              <w:t>Увоз роба и услуга</w:t>
            </w:r>
          </w:p>
        </w:tc>
        <w:tc>
          <w:tcPr>
            <w:tcW w:w="1275" w:type="dxa"/>
          </w:tcPr>
          <w:p w:rsidR="00DE0B24" w:rsidRPr="00D33B6E" w:rsidRDefault="00D33B6E" w:rsidP="00DE0B24">
            <w:pPr>
              <w:jc w:val="right"/>
            </w:pPr>
            <w:r>
              <w:t>9,8</w:t>
            </w:r>
          </w:p>
        </w:tc>
        <w:tc>
          <w:tcPr>
            <w:tcW w:w="1276" w:type="dxa"/>
          </w:tcPr>
          <w:p w:rsidR="00DE0B24" w:rsidRPr="00D33B6E" w:rsidRDefault="00D33B6E" w:rsidP="00B566B9">
            <w:pPr>
              <w:jc w:val="right"/>
            </w:pPr>
            <w:r>
              <w:t>8,2</w:t>
            </w:r>
          </w:p>
        </w:tc>
        <w:tc>
          <w:tcPr>
            <w:tcW w:w="1276" w:type="dxa"/>
          </w:tcPr>
          <w:p w:rsidR="00DE0B24" w:rsidRPr="00D33B6E" w:rsidRDefault="00D33B6E" w:rsidP="000B47F1">
            <w:pPr>
              <w:jc w:val="right"/>
            </w:pPr>
            <w:r>
              <w:t>8,0</w:t>
            </w:r>
          </w:p>
        </w:tc>
        <w:tc>
          <w:tcPr>
            <w:tcW w:w="1276" w:type="dxa"/>
          </w:tcPr>
          <w:p w:rsidR="00DE0B24" w:rsidRPr="00D33B6E" w:rsidRDefault="00D33B6E" w:rsidP="000B47F1">
            <w:pPr>
              <w:jc w:val="right"/>
            </w:pPr>
            <w:r>
              <w:t>8,0</w:t>
            </w:r>
          </w:p>
        </w:tc>
      </w:tr>
      <w:tr w:rsidR="00817D20" w:rsidTr="00817D20">
        <w:tc>
          <w:tcPr>
            <w:tcW w:w="4066" w:type="dxa"/>
          </w:tcPr>
          <w:p w:rsidR="00817D20" w:rsidRPr="00F3228C" w:rsidRDefault="00F3228C" w:rsidP="008F2941">
            <w:pPr>
              <w:rPr>
                <w:b/>
              </w:rPr>
            </w:pPr>
            <w:r w:rsidRPr="00F3228C">
              <w:rPr>
                <w:b/>
              </w:rPr>
              <w:t>Допринос расту БДП,п.п.</w:t>
            </w:r>
          </w:p>
        </w:tc>
        <w:tc>
          <w:tcPr>
            <w:tcW w:w="1275" w:type="dxa"/>
          </w:tcPr>
          <w:p w:rsidR="00817D20" w:rsidRPr="00130E5F" w:rsidRDefault="00817D20" w:rsidP="00DE0B24">
            <w:pPr>
              <w:jc w:val="right"/>
            </w:pPr>
          </w:p>
        </w:tc>
        <w:tc>
          <w:tcPr>
            <w:tcW w:w="1276" w:type="dxa"/>
          </w:tcPr>
          <w:p w:rsidR="00817D20" w:rsidRPr="00130E5F" w:rsidRDefault="00817D20" w:rsidP="00B566B9">
            <w:pPr>
              <w:jc w:val="right"/>
            </w:pPr>
          </w:p>
        </w:tc>
        <w:tc>
          <w:tcPr>
            <w:tcW w:w="1276" w:type="dxa"/>
          </w:tcPr>
          <w:p w:rsidR="00817D20" w:rsidRPr="00130E5F" w:rsidRDefault="00817D20" w:rsidP="000B47F1">
            <w:pPr>
              <w:jc w:val="right"/>
            </w:pPr>
          </w:p>
        </w:tc>
        <w:tc>
          <w:tcPr>
            <w:tcW w:w="1276" w:type="dxa"/>
          </w:tcPr>
          <w:p w:rsidR="00817D20" w:rsidRPr="00130E5F" w:rsidRDefault="00817D20" w:rsidP="000B47F1">
            <w:pPr>
              <w:jc w:val="right"/>
            </w:pPr>
          </w:p>
        </w:tc>
      </w:tr>
      <w:tr w:rsidR="00F3228C" w:rsidTr="00817D20">
        <w:tc>
          <w:tcPr>
            <w:tcW w:w="4066" w:type="dxa"/>
          </w:tcPr>
          <w:p w:rsidR="00F3228C" w:rsidRPr="00F3228C" w:rsidRDefault="00F3228C" w:rsidP="008F2941">
            <w:r>
              <w:t>Домаћа тражња</w:t>
            </w:r>
          </w:p>
        </w:tc>
        <w:tc>
          <w:tcPr>
            <w:tcW w:w="1275" w:type="dxa"/>
          </w:tcPr>
          <w:p w:rsidR="00F3228C" w:rsidRPr="00F3228C" w:rsidRDefault="00F3228C" w:rsidP="00DE0B24">
            <w:pPr>
              <w:jc w:val="right"/>
            </w:pPr>
            <w:r>
              <w:t>5,2</w:t>
            </w:r>
          </w:p>
        </w:tc>
        <w:tc>
          <w:tcPr>
            <w:tcW w:w="1276" w:type="dxa"/>
          </w:tcPr>
          <w:p w:rsidR="00F3228C" w:rsidRPr="00F3228C" w:rsidRDefault="00F3228C" w:rsidP="00B566B9">
            <w:pPr>
              <w:jc w:val="right"/>
            </w:pPr>
            <w:r>
              <w:t>3,4</w:t>
            </w:r>
          </w:p>
        </w:tc>
        <w:tc>
          <w:tcPr>
            <w:tcW w:w="1276" w:type="dxa"/>
          </w:tcPr>
          <w:p w:rsidR="00F3228C" w:rsidRPr="00F3228C" w:rsidRDefault="00F3228C" w:rsidP="000B47F1">
            <w:pPr>
              <w:jc w:val="right"/>
            </w:pPr>
            <w:r>
              <w:t>3,7</w:t>
            </w:r>
          </w:p>
        </w:tc>
        <w:tc>
          <w:tcPr>
            <w:tcW w:w="1276" w:type="dxa"/>
          </w:tcPr>
          <w:p w:rsidR="00F3228C" w:rsidRPr="00F3228C" w:rsidRDefault="00F3228C" w:rsidP="000B47F1">
            <w:pPr>
              <w:jc w:val="right"/>
            </w:pPr>
            <w:r>
              <w:t>3,8</w:t>
            </w:r>
          </w:p>
        </w:tc>
      </w:tr>
      <w:tr w:rsidR="00F3228C" w:rsidTr="00817D20">
        <w:tc>
          <w:tcPr>
            <w:tcW w:w="4066" w:type="dxa"/>
          </w:tcPr>
          <w:p w:rsidR="00F3228C" w:rsidRDefault="00F3228C" w:rsidP="008F2941">
            <w:r>
              <w:t xml:space="preserve">Инвестициона потрошња </w:t>
            </w:r>
          </w:p>
        </w:tc>
        <w:tc>
          <w:tcPr>
            <w:tcW w:w="1275" w:type="dxa"/>
          </w:tcPr>
          <w:p w:rsidR="00F3228C" w:rsidRPr="00F3228C" w:rsidRDefault="00F3228C" w:rsidP="00DE0B24">
            <w:pPr>
              <w:jc w:val="right"/>
            </w:pPr>
            <w:r>
              <w:t>2,5</w:t>
            </w:r>
          </w:p>
        </w:tc>
        <w:tc>
          <w:tcPr>
            <w:tcW w:w="1276" w:type="dxa"/>
          </w:tcPr>
          <w:p w:rsidR="00F3228C" w:rsidRPr="00F3228C" w:rsidRDefault="00F3228C" w:rsidP="00B566B9">
            <w:pPr>
              <w:jc w:val="right"/>
            </w:pPr>
            <w:r>
              <w:t>1,0</w:t>
            </w:r>
          </w:p>
        </w:tc>
        <w:tc>
          <w:tcPr>
            <w:tcW w:w="1276" w:type="dxa"/>
          </w:tcPr>
          <w:p w:rsidR="00F3228C" w:rsidRPr="00F3228C" w:rsidRDefault="00F3228C" w:rsidP="000B47F1">
            <w:pPr>
              <w:jc w:val="right"/>
            </w:pPr>
            <w:r>
              <w:t>1,1</w:t>
            </w:r>
          </w:p>
        </w:tc>
        <w:tc>
          <w:tcPr>
            <w:tcW w:w="1276" w:type="dxa"/>
          </w:tcPr>
          <w:p w:rsidR="00F3228C" w:rsidRPr="00F3228C" w:rsidRDefault="00F3228C" w:rsidP="000B47F1">
            <w:pPr>
              <w:jc w:val="right"/>
            </w:pPr>
            <w:r>
              <w:t>1,1</w:t>
            </w:r>
          </w:p>
        </w:tc>
      </w:tr>
      <w:tr w:rsidR="00F3228C" w:rsidTr="00817D20">
        <w:tc>
          <w:tcPr>
            <w:tcW w:w="4066" w:type="dxa"/>
          </w:tcPr>
          <w:p w:rsidR="00F3228C" w:rsidRDefault="00F3228C" w:rsidP="008F2941">
            <w:r>
              <w:t>Лична потрошња</w:t>
            </w:r>
          </w:p>
        </w:tc>
        <w:tc>
          <w:tcPr>
            <w:tcW w:w="1275" w:type="dxa"/>
          </w:tcPr>
          <w:p w:rsidR="00F3228C" w:rsidRPr="00F3228C" w:rsidRDefault="00F3228C" w:rsidP="00DE0B24">
            <w:pPr>
              <w:jc w:val="right"/>
            </w:pPr>
            <w:r>
              <w:t>2,1</w:t>
            </w:r>
          </w:p>
        </w:tc>
        <w:tc>
          <w:tcPr>
            <w:tcW w:w="1276" w:type="dxa"/>
          </w:tcPr>
          <w:p w:rsidR="00F3228C" w:rsidRPr="00F3228C" w:rsidRDefault="00F3228C" w:rsidP="00B566B9">
            <w:pPr>
              <w:jc w:val="right"/>
            </w:pPr>
            <w:r>
              <w:t>2,1</w:t>
            </w:r>
          </w:p>
        </w:tc>
        <w:tc>
          <w:tcPr>
            <w:tcW w:w="1276" w:type="dxa"/>
          </w:tcPr>
          <w:p w:rsidR="00F3228C" w:rsidRPr="00F3228C" w:rsidRDefault="00F3228C" w:rsidP="000B47F1">
            <w:pPr>
              <w:jc w:val="right"/>
            </w:pPr>
            <w:r>
              <w:t>2,3</w:t>
            </w:r>
          </w:p>
        </w:tc>
        <w:tc>
          <w:tcPr>
            <w:tcW w:w="1276" w:type="dxa"/>
          </w:tcPr>
          <w:p w:rsidR="00F3228C" w:rsidRPr="00F3228C" w:rsidRDefault="00F3228C" w:rsidP="000B47F1">
            <w:pPr>
              <w:jc w:val="right"/>
            </w:pPr>
            <w:r>
              <w:t>2,3</w:t>
            </w:r>
          </w:p>
        </w:tc>
      </w:tr>
      <w:tr w:rsidR="00F3228C" w:rsidTr="00817D20">
        <w:tc>
          <w:tcPr>
            <w:tcW w:w="4066" w:type="dxa"/>
          </w:tcPr>
          <w:p w:rsidR="00F3228C" w:rsidRDefault="00F3228C" w:rsidP="008F2941">
            <w:r>
              <w:lastRenderedPageBreak/>
              <w:t>Државна потрошња</w:t>
            </w:r>
          </w:p>
        </w:tc>
        <w:tc>
          <w:tcPr>
            <w:tcW w:w="1275" w:type="dxa"/>
          </w:tcPr>
          <w:p w:rsidR="00F3228C" w:rsidRPr="00F3228C" w:rsidRDefault="00F3228C" w:rsidP="00DE0B24">
            <w:pPr>
              <w:jc w:val="right"/>
            </w:pPr>
            <w:r>
              <w:t>0,6</w:t>
            </w:r>
          </w:p>
        </w:tc>
        <w:tc>
          <w:tcPr>
            <w:tcW w:w="1276" w:type="dxa"/>
          </w:tcPr>
          <w:p w:rsidR="00F3228C" w:rsidRPr="00F3228C" w:rsidRDefault="00F3228C" w:rsidP="00B566B9">
            <w:pPr>
              <w:jc w:val="right"/>
            </w:pPr>
            <w:r>
              <w:t>0,3</w:t>
            </w:r>
          </w:p>
        </w:tc>
        <w:tc>
          <w:tcPr>
            <w:tcW w:w="1276" w:type="dxa"/>
          </w:tcPr>
          <w:p w:rsidR="00F3228C" w:rsidRPr="00F3228C" w:rsidRDefault="00F3228C" w:rsidP="000B47F1">
            <w:pPr>
              <w:jc w:val="right"/>
            </w:pPr>
            <w:r>
              <w:t>0,3</w:t>
            </w:r>
          </w:p>
        </w:tc>
        <w:tc>
          <w:tcPr>
            <w:tcW w:w="1276" w:type="dxa"/>
          </w:tcPr>
          <w:p w:rsidR="00F3228C" w:rsidRPr="00F3228C" w:rsidRDefault="00F3228C" w:rsidP="000B47F1">
            <w:pPr>
              <w:jc w:val="right"/>
            </w:pPr>
            <w:r>
              <w:t>0,4</w:t>
            </w:r>
          </w:p>
        </w:tc>
      </w:tr>
      <w:tr w:rsidR="00F3228C" w:rsidTr="00817D20">
        <w:tc>
          <w:tcPr>
            <w:tcW w:w="4066" w:type="dxa"/>
          </w:tcPr>
          <w:p w:rsidR="00F3228C" w:rsidRDefault="00F3228C" w:rsidP="008F2941">
            <w:r>
              <w:t>Спољно тргов. биланс роба и услуга</w:t>
            </w:r>
          </w:p>
        </w:tc>
        <w:tc>
          <w:tcPr>
            <w:tcW w:w="1275" w:type="dxa"/>
          </w:tcPr>
          <w:p w:rsidR="00F3228C" w:rsidRPr="00F3228C" w:rsidRDefault="00F3228C" w:rsidP="00DE0B24">
            <w:pPr>
              <w:jc w:val="right"/>
            </w:pPr>
            <w:r>
              <w:t>-1,0</w:t>
            </w:r>
          </w:p>
        </w:tc>
        <w:tc>
          <w:tcPr>
            <w:tcW w:w="1276" w:type="dxa"/>
          </w:tcPr>
          <w:p w:rsidR="00F3228C" w:rsidRPr="00F3228C" w:rsidRDefault="00F3228C" w:rsidP="00B566B9">
            <w:pPr>
              <w:jc w:val="right"/>
            </w:pPr>
            <w:r>
              <w:t>0,1</w:t>
            </w:r>
          </w:p>
        </w:tc>
        <w:tc>
          <w:tcPr>
            <w:tcW w:w="1276" w:type="dxa"/>
          </w:tcPr>
          <w:p w:rsidR="00F3228C" w:rsidRPr="00F3228C" w:rsidRDefault="00F3228C" w:rsidP="000B47F1">
            <w:pPr>
              <w:jc w:val="right"/>
            </w:pPr>
            <w:r>
              <w:t>0,3</w:t>
            </w:r>
          </w:p>
        </w:tc>
        <w:tc>
          <w:tcPr>
            <w:tcW w:w="1276" w:type="dxa"/>
          </w:tcPr>
          <w:p w:rsidR="00F3228C" w:rsidRPr="00F3228C" w:rsidRDefault="00F3228C" w:rsidP="000B47F1">
            <w:pPr>
              <w:jc w:val="right"/>
            </w:pPr>
            <w:r>
              <w:t>0,2</w:t>
            </w:r>
          </w:p>
        </w:tc>
      </w:tr>
      <w:tr w:rsidR="00F3228C" w:rsidTr="00817D20">
        <w:tc>
          <w:tcPr>
            <w:tcW w:w="4066" w:type="dxa"/>
          </w:tcPr>
          <w:p w:rsidR="00F3228C" w:rsidRPr="00F3228C" w:rsidRDefault="00F3228C" w:rsidP="008F2941">
            <w:pPr>
              <w:rPr>
                <w:b/>
              </w:rPr>
            </w:pPr>
            <w:r w:rsidRPr="00F3228C">
              <w:rPr>
                <w:b/>
              </w:rPr>
              <w:t>Кретања цена</w:t>
            </w:r>
          </w:p>
        </w:tc>
        <w:tc>
          <w:tcPr>
            <w:tcW w:w="1275" w:type="dxa"/>
          </w:tcPr>
          <w:p w:rsidR="00F3228C" w:rsidRDefault="00F3228C" w:rsidP="00DE0B24">
            <w:pPr>
              <w:jc w:val="right"/>
            </w:pPr>
          </w:p>
        </w:tc>
        <w:tc>
          <w:tcPr>
            <w:tcW w:w="1276" w:type="dxa"/>
          </w:tcPr>
          <w:p w:rsidR="00F3228C" w:rsidRDefault="00F3228C" w:rsidP="00B566B9">
            <w:pPr>
              <w:jc w:val="right"/>
            </w:pPr>
          </w:p>
        </w:tc>
        <w:tc>
          <w:tcPr>
            <w:tcW w:w="1276" w:type="dxa"/>
          </w:tcPr>
          <w:p w:rsidR="00F3228C" w:rsidRDefault="00F3228C" w:rsidP="000B47F1">
            <w:pPr>
              <w:jc w:val="right"/>
            </w:pPr>
          </w:p>
        </w:tc>
        <w:tc>
          <w:tcPr>
            <w:tcW w:w="1276" w:type="dxa"/>
          </w:tcPr>
          <w:p w:rsidR="00F3228C" w:rsidRDefault="00F3228C" w:rsidP="000B47F1">
            <w:pPr>
              <w:jc w:val="right"/>
            </w:pPr>
          </w:p>
        </w:tc>
      </w:tr>
      <w:tr w:rsidR="00F3228C" w:rsidTr="00817D20">
        <w:tc>
          <w:tcPr>
            <w:tcW w:w="4066" w:type="dxa"/>
          </w:tcPr>
          <w:p w:rsidR="00F3228C" w:rsidRDefault="00F3228C" w:rsidP="008F2941">
            <w:r>
              <w:t>Потрошачке цене (годишњи просек)</w:t>
            </w:r>
          </w:p>
        </w:tc>
        <w:tc>
          <w:tcPr>
            <w:tcW w:w="1275" w:type="dxa"/>
          </w:tcPr>
          <w:p w:rsidR="00F3228C" w:rsidRDefault="00F3228C" w:rsidP="00DE0B24">
            <w:pPr>
              <w:jc w:val="right"/>
            </w:pPr>
            <w:r>
              <w:t>2,1</w:t>
            </w:r>
          </w:p>
        </w:tc>
        <w:tc>
          <w:tcPr>
            <w:tcW w:w="1276" w:type="dxa"/>
          </w:tcPr>
          <w:p w:rsidR="00F3228C" w:rsidRDefault="00F3228C" w:rsidP="00B566B9">
            <w:pPr>
              <w:jc w:val="right"/>
            </w:pPr>
            <w:r>
              <w:t>2,3</w:t>
            </w:r>
          </w:p>
        </w:tc>
        <w:tc>
          <w:tcPr>
            <w:tcW w:w="1276" w:type="dxa"/>
          </w:tcPr>
          <w:p w:rsidR="00F3228C" w:rsidRDefault="00F3228C" w:rsidP="000B47F1">
            <w:pPr>
              <w:jc w:val="right"/>
            </w:pPr>
            <w:r>
              <w:t>3,0</w:t>
            </w:r>
          </w:p>
        </w:tc>
        <w:tc>
          <w:tcPr>
            <w:tcW w:w="1276" w:type="dxa"/>
          </w:tcPr>
          <w:p w:rsidR="00F3228C" w:rsidRDefault="00F3228C" w:rsidP="000B47F1">
            <w:pPr>
              <w:jc w:val="right"/>
            </w:pPr>
            <w:r>
              <w:t>3,0</w:t>
            </w:r>
          </w:p>
        </w:tc>
      </w:tr>
      <w:tr w:rsidR="00F3228C" w:rsidTr="00817D20">
        <w:tc>
          <w:tcPr>
            <w:tcW w:w="4066" w:type="dxa"/>
          </w:tcPr>
          <w:p w:rsidR="00F3228C" w:rsidRDefault="00F3228C" w:rsidP="008F2941">
            <w:r>
              <w:t>Потрошачке цене (крај периода)</w:t>
            </w:r>
          </w:p>
        </w:tc>
        <w:tc>
          <w:tcPr>
            <w:tcW w:w="1275" w:type="dxa"/>
          </w:tcPr>
          <w:p w:rsidR="00F3228C" w:rsidRDefault="00F3228C" w:rsidP="00DE0B24">
            <w:pPr>
              <w:jc w:val="right"/>
            </w:pPr>
            <w:r>
              <w:t>2,6</w:t>
            </w:r>
          </w:p>
        </w:tc>
        <w:tc>
          <w:tcPr>
            <w:tcW w:w="1276" w:type="dxa"/>
          </w:tcPr>
          <w:p w:rsidR="00F3228C" w:rsidRDefault="00F3228C" w:rsidP="00B566B9">
            <w:pPr>
              <w:jc w:val="right"/>
            </w:pPr>
            <w:r>
              <w:t>2,4</w:t>
            </w:r>
          </w:p>
        </w:tc>
        <w:tc>
          <w:tcPr>
            <w:tcW w:w="1276" w:type="dxa"/>
          </w:tcPr>
          <w:p w:rsidR="00F3228C" w:rsidRDefault="00F3228C" w:rsidP="000B47F1">
            <w:pPr>
              <w:jc w:val="right"/>
            </w:pPr>
            <w:r>
              <w:t>3,0</w:t>
            </w:r>
          </w:p>
        </w:tc>
        <w:tc>
          <w:tcPr>
            <w:tcW w:w="1276" w:type="dxa"/>
          </w:tcPr>
          <w:p w:rsidR="00F3228C" w:rsidRDefault="00F3228C" w:rsidP="000B47F1">
            <w:pPr>
              <w:jc w:val="right"/>
            </w:pPr>
            <w:r>
              <w:t>3,0</w:t>
            </w:r>
          </w:p>
        </w:tc>
      </w:tr>
      <w:tr w:rsidR="00F3228C" w:rsidTr="00817D20">
        <w:tc>
          <w:tcPr>
            <w:tcW w:w="4066" w:type="dxa"/>
          </w:tcPr>
          <w:p w:rsidR="00F3228C" w:rsidRDefault="00F3228C" w:rsidP="008F2941">
            <w:r>
              <w:t>Дефлатор БДП</w:t>
            </w:r>
          </w:p>
        </w:tc>
        <w:tc>
          <w:tcPr>
            <w:tcW w:w="1275" w:type="dxa"/>
          </w:tcPr>
          <w:p w:rsidR="00F3228C" w:rsidRDefault="00F3228C" w:rsidP="00DE0B24">
            <w:pPr>
              <w:jc w:val="right"/>
            </w:pPr>
            <w:r>
              <w:t>2,4</w:t>
            </w:r>
          </w:p>
        </w:tc>
        <w:tc>
          <w:tcPr>
            <w:tcW w:w="1276" w:type="dxa"/>
          </w:tcPr>
          <w:p w:rsidR="00F3228C" w:rsidRDefault="00F3228C" w:rsidP="00B566B9">
            <w:pPr>
              <w:jc w:val="right"/>
            </w:pPr>
            <w:r>
              <w:t>3,3</w:t>
            </w:r>
          </w:p>
        </w:tc>
        <w:tc>
          <w:tcPr>
            <w:tcW w:w="1276" w:type="dxa"/>
          </w:tcPr>
          <w:p w:rsidR="00F3228C" w:rsidRDefault="00F3228C" w:rsidP="000B47F1">
            <w:pPr>
              <w:jc w:val="right"/>
            </w:pPr>
            <w:r>
              <w:t>3,4</w:t>
            </w:r>
          </w:p>
        </w:tc>
        <w:tc>
          <w:tcPr>
            <w:tcW w:w="1276" w:type="dxa"/>
          </w:tcPr>
          <w:p w:rsidR="00F3228C" w:rsidRDefault="00F3228C" w:rsidP="000B47F1">
            <w:pPr>
              <w:jc w:val="right"/>
            </w:pPr>
            <w:r>
              <w:t>3,4</w:t>
            </w:r>
          </w:p>
        </w:tc>
      </w:tr>
      <w:tr w:rsidR="00F3228C" w:rsidTr="00817D20">
        <w:tc>
          <w:tcPr>
            <w:tcW w:w="4066" w:type="dxa"/>
          </w:tcPr>
          <w:p w:rsidR="00F3228C" w:rsidRPr="00F3228C" w:rsidRDefault="00F3228C" w:rsidP="008F2941">
            <w:pPr>
              <w:rPr>
                <w:b/>
              </w:rPr>
            </w:pPr>
            <w:r w:rsidRPr="00F3228C">
              <w:rPr>
                <w:b/>
              </w:rPr>
              <w:t>Кретања у спољном сектору</w:t>
            </w:r>
            <w:r>
              <w:rPr>
                <w:b/>
              </w:rPr>
              <w:t xml:space="preserve"> (% БДП)</w:t>
            </w:r>
          </w:p>
        </w:tc>
        <w:tc>
          <w:tcPr>
            <w:tcW w:w="1275" w:type="dxa"/>
          </w:tcPr>
          <w:p w:rsidR="00F3228C" w:rsidRDefault="00F3228C" w:rsidP="00DE0B24">
            <w:pPr>
              <w:jc w:val="right"/>
            </w:pPr>
          </w:p>
        </w:tc>
        <w:tc>
          <w:tcPr>
            <w:tcW w:w="1276" w:type="dxa"/>
          </w:tcPr>
          <w:p w:rsidR="00F3228C" w:rsidRDefault="00F3228C" w:rsidP="00B566B9">
            <w:pPr>
              <w:jc w:val="right"/>
            </w:pPr>
          </w:p>
        </w:tc>
        <w:tc>
          <w:tcPr>
            <w:tcW w:w="1276" w:type="dxa"/>
          </w:tcPr>
          <w:p w:rsidR="00F3228C" w:rsidRDefault="00F3228C" w:rsidP="000B47F1">
            <w:pPr>
              <w:jc w:val="right"/>
            </w:pPr>
          </w:p>
        </w:tc>
        <w:tc>
          <w:tcPr>
            <w:tcW w:w="1276" w:type="dxa"/>
          </w:tcPr>
          <w:p w:rsidR="00F3228C" w:rsidRDefault="00F3228C" w:rsidP="000B47F1">
            <w:pPr>
              <w:jc w:val="right"/>
            </w:pPr>
          </w:p>
        </w:tc>
      </w:tr>
      <w:tr w:rsidR="00F3228C" w:rsidTr="00817D20">
        <w:tc>
          <w:tcPr>
            <w:tcW w:w="4066" w:type="dxa"/>
          </w:tcPr>
          <w:p w:rsidR="00F3228C" w:rsidRDefault="00F3228C" w:rsidP="008F2941">
            <w:r>
              <w:t>Спољнотрговински биланс роба</w:t>
            </w:r>
          </w:p>
        </w:tc>
        <w:tc>
          <w:tcPr>
            <w:tcW w:w="1275" w:type="dxa"/>
          </w:tcPr>
          <w:p w:rsidR="00F3228C" w:rsidRDefault="00F3228C" w:rsidP="00DE0B24">
            <w:pPr>
              <w:jc w:val="right"/>
            </w:pPr>
            <w:r>
              <w:t>-11,3</w:t>
            </w:r>
          </w:p>
        </w:tc>
        <w:tc>
          <w:tcPr>
            <w:tcW w:w="1276" w:type="dxa"/>
          </w:tcPr>
          <w:p w:rsidR="00F3228C" w:rsidRDefault="00F3228C" w:rsidP="00B566B9">
            <w:pPr>
              <w:jc w:val="right"/>
            </w:pPr>
            <w:r>
              <w:t>-10,9</w:t>
            </w:r>
          </w:p>
        </w:tc>
        <w:tc>
          <w:tcPr>
            <w:tcW w:w="1276" w:type="dxa"/>
          </w:tcPr>
          <w:p w:rsidR="00F3228C" w:rsidRDefault="00F3228C" w:rsidP="000B47F1">
            <w:pPr>
              <w:jc w:val="right"/>
            </w:pPr>
            <w:r>
              <w:t>-10,1</w:t>
            </w:r>
          </w:p>
        </w:tc>
        <w:tc>
          <w:tcPr>
            <w:tcW w:w="1276" w:type="dxa"/>
          </w:tcPr>
          <w:p w:rsidR="00F3228C" w:rsidRDefault="00F3228C" w:rsidP="000B47F1">
            <w:pPr>
              <w:jc w:val="right"/>
            </w:pPr>
            <w:r>
              <w:t>-9,6</w:t>
            </w:r>
          </w:p>
        </w:tc>
      </w:tr>
      <w:tr w:rsidR="00F3228C" w:rsidTr="00817D20">
        <w:tc>
          <w:tcPr>
            <w:tcW w:w="4066" w:type="dxa"/>
          </w:tcPr>
          <w:p w:rsidR="00F3228C" w:rsidRDefault="00F3228C" w:rsidP="008F2941">
            <w:r>
              <w:t xml:space="preserve">Спољнотрговински биланс услуга </w:t>
            </w:r>
          </w:p>
        </w:tc>
        <w:tc>
          <w:tcPr>
            <w:tcW w:w="1275" w:type="dxa"/>
          </w:tcPr>
          <w:p w:rsidR="00F3228C" w:rsidRDefault="00F3228C" w:rsidP="00DE0B24">
            <w:pPr>
              <w:jc w:val="right"/>
            </w:pPr>
            <w:r>
              <w:t>2,7</w:t>
            </w:r>
          </w:p>
        </w:tc>
        <w:tc>
          <w:tcPr>
            <w:tcW w:w="1276" w:type="dxa"/>
          </w:tcPr>
          <w:p w:rsidR="00F3228C" w:rsidRDefault="00F3228C" w:rsidP="00B566B9">
            <w:pPr>
              <w:jc w:val="right"/>
            </w:pPr>
            <w:r>
              <w:t>2,8</w:t>
            </w:r>
          </w:p>
        </w:tc>
        <w:tc>
          <w:tcPr>
            <w:tcW w:w="1276" w:type="dxa"/>
          </w:tcPr>
          <w:p w:rsidR="00F3228C" w:rsidRDefault="00F3228C" w:rsidP="000B47F1">
            <w:pPr>
              <w:jc w:val="right"/>
            </w:pPr>
            <w:r>
              <w:t>2,8</w:t>
            </w:r>
          </w:p>
        </w:tc>
        <w:tc>
          <w:tcPr>
            <w:tcW w:w="1276" w:type="dxa"/>
          </w:tcPr>
          <w:p w:rsidR="00F3228C" w:rsidRDefault="00F3228C" w:rsidP="000B47F1">
            <w:pPr>
              <w:jc w:val="right"/>
            </w:pPr>
            <w:r>
              <w:t>2,9</w:t>
            </w:r>
          </w:p>
        </w:tc>
      </w:tr>
      <w:tr w:rsidR="00F3228C" w:rsidTr="00817D20">
        <w:tc>
          <w:tcPr>
            <w:tcW w:w="4066" w:type="dxa"/>
          </w:tcPr>
          <w:p w:rsidR="00F3228C" w:rsidRDefault="00F3228C" w:rsidP="008F2941">
            <w:r>
              <w:t xml:space="preserve">Салдо текућег рачуна </w:t>
            </w:r>
          </w:p>
        </w:tc>
        <w:tc>
          <w:tcPr>
            <w:tcW w:w="1275" w:type="dxa"/>
          </w:tcPr>
          <w:p w:rsidR="00F3228C" w:rsidRDefault="002867A4" w:rsidP="00DE0B24">
            <w:pPr>
              <w:jc w:val="right"/>
            </w:pPr>
            <w:r>
              <w:t>-5,2</w:t>
            </w:r>
          </w:p>
        </w:tc>
        <w:tc>
          <w:tcPr>
            <w:tcW w:w="1276" w:type="dxa"/>
          </w:tcPr>
          <w:p w:rsidR="00F3228C" w:rsidRDefault="002867A4" w:rsidP="00B566B9">
            <w:pPr>
              <w:jc w:val="right"/>
            </w:pPr>
            <w:r>
              <w:t>-5,0</w:t>
            </w:r>
          </w:p>
        </w:tc>
        <w:tc>
          <w:tcPr>
            <w:tcW w:w="1276" w:type="dxa"/>
          </w:tcPr>
          <w:p w:rsidR="00F3228C" w:rsidRDefault="002867A4" w:rsidP="000B47F1">
            <w:pPr>
              <w:jc w:val="right"/>
            </w:pPr>
            <w:r>
              <w:t>-4,5</w:t>
            </w:r>
          </w:p>
        </w:tc>
        <w:tc>
          <w:tcPr>
            <w:tcW w:w="1276" w:type="dxa"/>
          </w:tcPr>
          <w:p w:rsidR="00F3228C" w:rsidRDefault="002867A4" w:rsidP="000B47F1">
            <w:pPr>
              <w:jc w:val="right"/>
            </w:pPr>
            <w:r>
              <w:t>-4,2</w:t>
            </w:r>
          </w:p>
        </w:tc>
      </w:tr>
      <w:tr w:rsidR="00F3228C" w:rsidTr="00817D20">
        <w:tc>
          <w:tcPr>
            <w:tcW w:w="4066" w:type="dxa"/>
          </w:tcPr>
          <w:p w:rsidR="00F3228C" w:rsidRDefault="00F3228C" w:rsidP="008F2941">
            <w:r>
              <w:t>Директне инвестиције - нето</w:t>
            </w:r>
          </w:p>
        </w:tc>
        <w:tc>
          <w:tcPr>
            <w:tcW w:w="1275" w:type="dxa"/>
          </w:tcPr>
          <w:p w:rsidR="00F3228C" w:rsidRDefault="002867A4" w:rsidP="00DE0B24">
            <w:pPr>
              <w:jc w:val="right"/>
            </w:pPr>
            <w:r>
              <w:t>6,2</w:t>
            </w:r>
          </w:p>
        </w:tc>
        <w:tc>
          <w:tcPr>
            <w:tcW w:w="1276" w:type="dxa"/>
          </w:tcPr>
          <w:p w:rsidR="00F3228C" w:rsidRDefault="002867A4" w:rsidP="00B566B9">
            <w:pPr>
              <w:jc w:val="right"/>
            </w:pPr>
            <w:r>
              <w:t>5,7</w:t>
            </w:r>
          </w:p>
        </w:tc>
        <w:tc>
          <w:tcPr>
            <w:tcW w:w="1276" w:type="dxa"/>
          </w:tcPr>
          <w:p w:rsidR="00F3228C" w:rsidRDefault="002867A4" w:rsidP="000B47F1">
            <w:pPr>
              <w:jc w:val="right"/>
            </w:pPr>
            <w:r>
              <w:t>5,4</w:t>
            </w:r>
          </w:p>
        </w:tc>
        <w:tc>
          <w:tcPr>
            <w:tcW w:w="1276" w:type="dxa"/>
          </w:tcPr>
          <w:p w:rsidR="00F3228C" w:rsidRDefault="002867A4" w:rsidP="000B47F1">
            <w:pPr>
              <w:jc w:val="right"/>
            </w:pPr>
            <w:r>
              <w:t>5,4</w:t>
            </w:r>
          </w:p>
        </w:tc>
      </w:tr>
      <w:tr w:rsidR="00F3228C" w:rsidTr="00817D20">
        <w:tc>
          <w:tcPr>
            <w:tcW w:w="4066" w:type="dxa"/>
          </w:tcPr>
          <w:p w:rsidR="00F3228C" w:rsidRPr="002867A4" w:rsidRDefault="002867A4" w:rsidP="008F2941">
            <w:pPr>
              <w:rPr>
                <w:b/>
              </w:rPr>
            </w:pPr>
            <w:r w:rsidRPr="002867A4">
              <w:rPr>
                <w:b/>
              </w:rPr>
              <w:t>Јавне финансије</w:t>
            </w:r>
          </w:p>
        </w:tc>
        <w:tc>
          <w:tcPr>
            <w:tcW w:w="1275" w:type="dxa"/>
          </w:tcPr>
          <w:p w:rsidR="00F3228C" w:rsidRDefault="00F3228C" w:rsidP="00DE0B24">
            <w:pPr>
              <w:jc w:val="right"/>
            </w:pPr>
          </w:p>
        </w:tc>
        <w:tc>
          <w:tcPr>
            <w:tcW w:w="1276" w:type="dxa"/>
          </w:tcPr>
          <w:p w:rsidR="00F3228C" w:rsidRDefault="00F3228C" w:rsidP="00B566B9">
            <w:pPr>
              <w:jc w:val="right"/>
            </w:pPr>
          </w:p>
        </w:tc>
        <w:tc>
          <w:tcPr>
            <w:tcW w:w="1276" w:type="dxa"/>
          </w:tcPr>
          <w:p w:rsidR="00F3228C" w:rsidRDefault="00F3228C" w:rsidP="000B47F1">
            <w:pPr>
              <w:jc w:val="right"/>
            </w:pPr>
          </w:p>
        </w:tc>
        <w:tc>
          <w:tcPr>
            <w:tcW w:w="1276" w:type="dxa"/>
          </w:tcPr>
          <w:p w:rsidR="00F3228C" w:rsidRDefault="00F3228C" w:rsidP="000B47F1">
            <w:pPr>
              <w:jc w:val="right"/>
            </w:pPr>
          </w:p>
        </w:tc>
      </w:tr>
      <w:tr w:rsidR="002867A4" w:rsidTr="00817D20">
        <w:tc>
          <w:tcPr>
            <w:tcW w:w="4066" w:type="dxa"/>
          </w:tcPr>
          <w:p w:rsidR="002867A4" w:rsidRPr="009E6769" w:rsidRDefault="002867A4" w:rsidP="008F2941">
            <w:r w:rsidRPr="009E6769">
              <w:t>Фискални резултат опште државе</w:t>
            </w:r>
            <w:r w:rsidR="009E6769">
              <w:t>(%БДП)</w:t>
            </w:r>
          </w:p>
        </w:tc>
        <w:tc>
          <w:tcPr>
            <w:tcW w:w="1275" w:type="dxa"/>
          </w:tcPr>
          <w:p w:rsidR="002867A4" w:rsidRDefault="002867A4" w:rsidP="00DE0B24">
            <w:pPr>
              <w:jc w:val="right"/>
            </w:pPr>
          </w:p>
          <w:p w:rsidR="009E6769" w:rsidRDefault="009E6769" w:rsidP="00DE0B24">
            <w:pPr>
              <w:jc w:val="right"/>
            </w:pPr>
            <w:r>
              <w:t>0,6</w:t>
            </w:r>
          </w:p>
        </w:tc>
        <w:tc>
          <w:tcPr>
            <w:tcW w:w="1276" w:type="dxa"/>
          </w:tcPr>
          <w:p w:rsidR="009E6769" w:rsidRDefault="009E6769" w:rsidP="00B566B9">
            <w:pPr>
              <w:jc w:val="right"/>
            </w:pPr>
          </w:p>
          <w:p w:rsidR="002867A4" w:rsidRDefault="009E6769" w:rsidP="00B566B9">
            <w:pPr>
              <w:jc w:val="right"/>
            </w:pPr>
            <w:r>
              <w:t>-0,5</w:t>
            </w:r>
          </w:p>
        </w:tc>
        <w:tc>
          <w:tcPr>
            <w:tcW w:w="1276" w:type="dxa"/>
          </w:tcPr>
          <w:p w:rsidR="009E6769" w:rsidRDefault="009E6769" w:rsidP="000B47F1">
            <w:pPr>
              <w:jc w:val="right"/>
            </w:pPr>
          </w:p>
          <w:p w:rsidR="002867A4" w:rsidRDefault="009E6769" w:rsidP="000B47F1">
            <w:pPr>
              <w:jc w:val="right"/>
            </w:pPr>
            <w:r>
              <w:t>-0,5</w:t>
            </w:r>
          </w:p>
        </w:tc>
        <w:tc>
          <w:tcPr>
            <w:tcW w:w="1276" w:type="dxa"/>
          </w:tcPr>
          <w:p w:rsidR="009E6769" w:rsidRDefault="009E6769" w:rsidP="000B47F1">
            <w:pPr>
              <w:jc w:val="right"/>
            </w:pPr>
          </w:p>
          <w:p w:rsidR="002867A4" w:rsidRDefault="009E6769" w:rsidP="000B47F1">
            <w:pPr>
              <w:jc w:val="right"/>
            </w:pPr>
            <w:r>
              <w:t>-0,5</w:t>
            </w:r>
          </w:p>
        </w:tc>
      </w:tr>
    </w:tbl>
    <w:p w:rsidR="008F2941" w:rsidRPr="003F391C" w:rsidRDefault="003F391C" w:rsidP="00F611B8">
      <w:r>
        <w:tab/>
      </w:r>
    </w:p>
    <w:p w:rsidR="008F2941" w:rsidRDefault="0070156E" w:rsidP="00A52318">
      <w:pPr>
        <w:ind w:firstLine="720"/>
      </w:pPr>
      <w:r>
        <w:t xml:space="preserve">Извор: </w:t>
      </w:r>
      <w:r w:rsidR="003F391C">
        <w:t>Министарство финансија</w:t>
      </w:r>
    </w:p>
    <w:p w:rsidR="008C76D1" w:rsidRPr="008C76D1" w:rsidRDefault="008C76D1" w:rsidP="00A52318">
      <w:pPr>
        <w:ind w:firstLine="720"/>
        <w:rPr>
          <w:b/>
        </w:rPr>
      </w:pPr>
      <w:r>
        <w:t xml:space="preserve">У складу са напред наведеним макро економским показатељима локална власт је у обавези да реално планира своје приходе буџета, при чему укупан раст прихода не сме да буде већи од номиналног раста </w:t>
      </w:r>
      <w:r w:rsidRPr="008C76D1">
        <w:rPr>
          <w:b/>
        </w:rPr>
        <w:t xml:space="preserve">БДП  ( пројектован номинални раст у 2019. години од </w:t>
      </w:r>
      <w:r w:rsidR="00454537">
        <w:rPr>
          <w:b/>
        </w:rPr>
        <w:t>6,9</w:t>
      </w:r>
      <w:r w:rsidRPr="008C76D1">
        <w:rPr>
          <w:b/>
        </w:rPr>
        <w:t>%).</w:t>
      </w:r>
    </w:p>
    <w:p w:rsidR="008F2941" w:rsidRPr="00C666A0" w:rsidRDefault="0070156E" w:rsidP="008F2941">
      <w:pPr>
        <w:ind w:left="720"/>
        <w:rPr>
          <w:b/>
        </w:rPr>
      </w:pPr>
      <w:r>
        <w:t xml:space="preserve"> </w:t>
      </w:r>
      <w:r w:rsidRPr="00C666A0">
        <w:rPr>
          <w:b/>
        </w:rPr>
        <w:t>СМЕРНИЦЕ ЗА ПЛАНИРАЊЕ ПОЈЕДИНИХ КАТЕГОРИЈА РАСХОДА</w:t>
      </w:r>
    </w:p>
    <w:p w:rsidR="008F2941" w:rsidRDefault="0070156E" w:rsidP="008F2941">
      <w:pPr>
        <w:ind w:left="720"/>
      </w:pPr>
      <w:r>
        <w:t xml:space="preserve"> Група конта 41 – Расходи за запослене</w:t>
      </w:r>
    </w:p>
    <w:p w:rsidR="008F2941" w:rsidRPr="00EA0AF7" w:rsidRDefault="0070156E" w:rsidP="008F2941">
      <w:pPr>
        <w:pStyle w:val="ListParagraph"/>
        <w:numPr>
          <w:ilvl w:val="0"/>
          <w:numId w:val="1"/>
        </w:numPr>
        <w:rPr>
          <w:b/>
        </w:rPr>
      </w:pPr>
      <w:r w:rsidRPr="00EA0AF7">
        <w:rPr>
          <w:b/>
        </w:rPr>
        <w:t xml:space="preserve">Законско уређење плата </w:t>
      </w:r>
    </w:p>
    <w:p w:rsidR="008F2941" w:rsidRDefault="0070156E" w:rsidP="00EA0AF7">
      <w:pPr>
        <w:pStyle w:val="ListParagraph"/>
        <w:ind w:left="0" w:firstLine="1110"/>
      </w:pPr>
      <w:r>
        <w:t xml:space="preserve">Плате запослених код корисника буџета локалне власти уређене су у складу са Законом о платама у државним органима и јавним службама („Службени гласник РС", бр. 62/06...99/14), Законом о привременом уређивању основица за обрачун и исплату плата, односно зарада и других сталних примања код корисника јавних средстава („Службени гласник РС", број 116/14) и Уредбом о коефицијентима за обрачун и исплату плата именованих и постављених лица и запослених у државним органима („Службени гласник РС", бр. 44/08 - пречишћен текст и 2/12). </w:t>
      </w:r>
    </w:p>
    <w:p w:rsidR="008F2941" w:rsidRDefault="0070156E" w:rsidP="00EA0AF7">
      <w:pPr>
        <w:pStyle w:val="ListParagraph"/>
        <w:ind w:left="0" w:firstLine="1110"/>
      </w:pPr>
      <w:r>
        <w:t xml:space="preserve">Приликом обрачуна и исплате плата за запослене у предшколским установама и другим јавним службама (установе културе) не примењује се Уредба о коефицијентима за обрачун и исплату плата именованих и постављених лица и запослених у државним органима, већ Уредба о  коефицијентима за обрачун и исплату плата запослених у јавним службама („Службени гласник РС", бр. 44/01...58/14). </w:t>
      </w:r>
    </w:p>
    <w:p w:rsidR="008F2941" w:rsidRDefault="0070156E" w:rsidP="00EA0AF7">
      <w:pPr>
        <w:pStyle w:val="ListParagraph"/>
        <w:ind w:left="0" w:firstLine="1110"/>
      </w:pPr>
      <w:r>
        <w:t>Приликом обрачуна и исплате плата примењују се основице према закључцима Владе Републике Србије.</w:t>
      </w:r>
    </w:p>
    <w:p w:rsidR="008F2941" w:rsidRPr="00CF47FF" w:rsidRDefault="0070156E" w:rsidP="008F2941">
      <w:pPr>
        <w:pStyle w:val="ListParagraph"/>
        <w:numPr>
          <w:ilvl w:val="0"/>
          <w:numId w:val="1"/>
        </w:numPr>
        <w:rPr>
          <w:b/>
        </w:rPr>
      </w:pPr>
      <w:r w:rsidRPr="00EA0AF7">
        <w:rPr>
          <w:b/>
        </w:rPr>
        <w:t xml:space="preserve">Планирање масе средстава за плате </w:t>
      </w:r>
      <w:r w:rsidR="00EB3485">
        <w:rPr>
          <w:b/>
        </w:rPr>
        <w:t xml:space="preserve"> и броја запослених </w:t>
      </w:r>
      <w:r w:rsidRPr="00EA0AF7">
        <w:rPr>
          <w:b/>
        </w:rPr>
        <w:t>у одлукама о буџету за 201</w:t>
      </w:r>
      <w:r w:rsidR="006F344F">
        <w:rPr>
          <w:b/>
        </w:rPr>
        <w:t>9</w:t>
      </w:r>
      <w:r w:rsidRPr="00EA0AF7">
        <w:rPr>
          <w:b/>
        </w:rPr>
        <w:t>. годину</w:t>
      </w:r>
    </w:p>
    <w:p w:rsidR="00CF47FF" w:rsidRDefault="00CF47FF" w:rsidP="00CA3040">
      <w:pPr>
        <w:pStyle w:val="NoSpacing"/>
        <w:ind w:firstLine="720"/>
      </w:pPr>
      <w:r>
        <w:t xml:space="preserve">Локална власт у 2019. години може планирати укупна средства потребна за исплату плата запослених које се финансирају из буџета локалне власти , тако да масу средстава за исплату плата </w:t>
      </w:r>
      <w:r>
        <w:lastRenderedPageBreak/>
        <w:t xml:space="preserve">планирају на нивоу исплаћених плата у 2018. години, а највише до дозвољеног нивоа за исплату плата у складу са чланом 40. </w:t>
      </w:r>
      <w:r w:rsidR="004A36B8">
        <w:t>З</w:t>
      </w:r>
      <w:r>
        <w:t>акона о буџету Републике Србије за 2018. годину.</w:t>
      </w:r>
    </w:p>
    <w:p w:rsidR="004A36B8" w:rsidRDefault="004A36B8" w:rsidP="004A36B8">
      <w:pPr>
        <w:pStyle w:val="NoSpacing"/>
      </w:pPr>
      <w:r>
        <w:tab/>
        <w:t xml:space="preserve">Укупну масу средстава за плате треба умањаити за плате запослених код корисника буџетских средстава </w:t>
      </w:r>
      <w:r w:rsidR="000004E6">
        <w:t xml:space="preserve">које су се финансирале из буџета локалне власти са економских класификација 411 и 412, а више </w:t>
      </w:r>
      <w:r w:rsidR="00161837">
        <w:t>се не финансирају , односно за плате запослених који су радили код тих корисника , а који нису преузети у органе и службе управе или јавне службе чије се плате финансирају из буџета локалне власти на економским класификацијама 411 и 412.</w:t>
      </w:r>
    </w:p>
    <w:p w:rsidR="00CA3040" w:rsidRDefault="00CA3040" w:rsidP="004A36B8">
      <w:pPr>
        <w:pStyle w:val="NoSpacing"/>
      </w:pPr>
    </w:p>
    <w:p w:rsidR="00161837" w:rsidRPr="00161837" w:rsidRDefault="00161837" w:rsidP="004A36B8">
      <w:pPr>
        <w:pStyle w:val="NoSpacing"/>
        <w:rPr>
          <w:b/>
        </w:rPr>
      </w:pPr>
      <w:r>
        <w:tab/>
      </w:r>
      <w:r w:rsidRPr="00161837">
        <w:rPr>
          <w:b/>
        </w:rPr>
        <w:t>Тако укупно планирана маса средстава за плате ће се увећати у:</w:t>
      </w:r>
    </w:p>
    <w:p w:rsidR="00161837" w:rsidRPr="00161837" w:rsidRDefault="00161837" w:rsidP="00161837">
      <w:pPr>
        <w:pStyle w:val="NoSpacing"/>
        <w:numPr>
          <w:ilvl w:val="0"/>
          <w:numId w:val="2"/>
        </w:numPr>
        <w:rPr>
          <w:b/>
        </w:rPr>
      </w:pPr>
      <w:r w:rsidRPr="00161837">
        <w:rPr>
          <w:b/>
        </w:rPr>
        <w:t>органима и службама локалне власти и месним заједницама за 7%;</w:t>
      </w:r>
    </w:p>
    <w:p w:rsidR="00161837" w:rsidRPr="00161837" w:rsidRDefault="00161837" w:rsidP="00161837">
      <w:pPr>
        <w:pStyle w:val="NoSpacing"/>
        <w:numPr>
          <w:ilvl w:val="0"/>
          <w:numId w:val="2"/>
        </w:numPr>
        <w:rPr>
          <w:b/>
        </w:rPr>
      </w:pPr>
      <w:r w:rsidRPr="00161837">
        <w:rPr>
          <w:b/>
        </w:rPr>
        <w:t>установама социјалне заштите за 7%;</w:t>
      </w:r>
    </w:p>
    <w:p w:rsidR="00161837" w:rsidRPr="00161837" w:rsidRDefault="00161837" w:rsidP="00161837">
      <w:pPr>
        <w:pStyle w:val="NoSpacing"/>
        <w:numPr>
          <w:ilvl w:val="0"/>
          <w:numId w:val="2"/>
        </w:numPr>
        <w:rPr>
          <w:b/>
        </w:rPr>
      </w:pPr>
      <w:r w:rsidRPr="00161837">
        <w:rPr>
          <w:b/>
        </w:rPr>
        <w:t>предшколским установама за 7%;</w:t>
      </w:r>
    </w:p>
    <w:p w:rsidR="00161837" w:rsidRPr="00161837" w:rsidRDefault="00161837" w:rsidP="00161837">
      <w:pPr>
        <w:pStyle w:val="NoSpacing"/>
        <w:numPr>
          <w:ilvl w:val="0"/>
          <w:numId w:val="2"/>
        </w:numPr>
        <w:rPr>
          <w:b/>
        </w:rPr>
      </w:pPr>
      <w:r w:rsidRPr="00161837">
        <w:rPr>
          <w:b/>
        </w:rPr>
        <w:t>осталим јавним службама 7%.</w:t>
      </w:r>
    </w:p>
    <w:p w:rsidR="00E60D28" w:rsidRDefault="00161837" w:rsidP="00763EAF">
      <w:pPr>
        <w:pStyle w:val="NoSpacing"/>
        <w:ind w:left="360" w:firstLine="360"/>
      </w:pPr>
      <w:r>
        <w:t>Средства за плате се планирају на бази постојећег , а не систематизованог броја запослених.</w:t>
      </w:r>
    </w:p>
    <w:p w:rsidR="0007700F" w:rsidRDefault="0007700F" w:rsidP="00763EAF">
      <w:pPr>
        <w:pStyle w:val="NoSpacing"/>
        <w:ind w:left="360" w:firstLine="360"/>
      </w:pPr>
      <w:r>
        <w:t>И у 2019. години важиће одредба Закона о  начину одређивања максималног броја запослених у јавном сектору којом се прописује да ће се повећање броја запослених на неодређено време , вршити у складу са прописима којима се уређује буџетски систем, односно  организациони облици ће тражити сагласност за повећање броја запослених преко надлежног органа локалне власти и Министарства државне управе и локалне самоуправе од Комисије Владе.</w:t>
      </w:r>
    </w:p>
    <w:p w:rsidR="0007700F" w:rsidRPr="00763EAF" w:rsidRDefault="0007700F" w:rsidP="00763EAF">
      <w:pPr>
        <w:pStyle w:val="NoSpacing"/>
        <w:ind w:left="360" w:firstLine="360"/>
      </w:pPr>
      <w:r>
        <w:t>Предшколске установе и установе културе нису изузете , односно за ново запошљавање у овим установама подносе се захтеви  за ново запошљавање у складу са одредбом члана 27е Закона у буџетском систему.</w:t>
      </w:r>
    </w:p>
    <w:p w:rsidR="00B5080B" w:rsidRDefault="0070156E" w:rsidP="00EA0AF7">
      <w:pPr>
        <w:pStyle w:val="ListParagraph"/>
        <w:ind w:left="0" w:firstLine="1110"/>
      </w:pPr>
      <w:r>
        <w:t>Као и у претходним годинама, и у буџетској 201</w:t>
      </w:r>
      <w:r w:rsidR="006F344F">
        <w:t>9</w:t>
      </w:r>
      <w:r>
        <w:t>. години, не треба планирати обрачун и исплату божићних, годишњих и других врста награда и бонуса предвиђених посебним и појединачним колективним уговорима, за директне и индиректне кориснике буџетских средстава локалне власти, осим јубиларних награда за запослене који ће то право стећи у 201</w:t>
      </w:r>
      <w:r w:rsidR="006F344F">
        <w:t>9</w:t>
      </w:r>
      <w:r>
        <w:t>. години.</w:t>
      </w:r>
    </w:p>
    <w:p w:rsidR="00B5080B" w:rsidRDefault="0070156E" w:rsidP="00EA0AF7">
      <w:pPr>
        <w:pStyle w:val="ListParagraph"/>
        <w:ind w:left="0" w:firstLine="750"/>
      </w:pPr>
      <w:r>
        <w:t>Такође, у 201</w:t>
      </w:r>
      <w:r w:rsidR="006F344F">
        <w:t>9</w:t>
      </w:r>
      <w:r>
        <w:t xml:space="preserve">.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 </w:t>
      </w:r>
    </w:p>
    <w:p w:rsidR="00B5080B" w:rsidRDefault="0070156E" w:rsidP="00EA0AF7">
      <w:pPr>
        <w:pStyle w:val="ListParagraph"/>
        <w:ind w:left="0" w:firstLine="720"/>
      </w:pPr>
      <w:r>
        <w:t>Остале економске класификације у оквиру групе 41 – Расходи за запослене, планирати крајње рестриктивно.</w:t>
      </w:r>
    </w:p>
    <w:p w:rsidR="003871BB" w:rsidRDefault="0070156E" w:rsidP="003871BB">
      <w:pPr>
        <w:pStyle w:val="ListParagraph"/>
        <w:ind w:left="0" w:firstLine="720"/>
      </w:pPr>
      <w:r w:rsidRPr="003871BB">
        <w:rPr>
          <w:b/>
        </w:rPr>
        <w:t>Група конта 42 – Коришћење услуга и роба</w:t>
      </w:r>
      <w:r>
        <w:t xml:space="preserve"> </w:t>
      </w:r>
    </w:p>
    <w:p w:rsidR="003871BB" w:rsidRDefault="0070156E" w:rsidP="003871BB">
      <w:pPr>
        <w:pStyle w:val="ListParagraph"/>
        <w:ind w:left="0" w:firstLine="720"/>
      </w:pPr>
      <w:r>
        <w:t>У оквиру групе конта која се односе на куповину роба и услуга, потребно је реално планирати средства за ове намене у 201</w:t>
      </w:r>
      <w:r w:rsidR="009D6B11">
        <w:t>9</w:t>
      </w:r>
      <w:r>
        <w:t xml:space="preserve">. години, а нарочито за извршавање расхода на име сталних трошкова (421 – Стални трошкови). </w:t>
      </w:r>
    </w:p>
    <w:p w:rsidR="00C26C38" w:rsidRPr="00C26C38" w:rsidRDefault="00C26C38" w:rsidP="003871BB">
      <w:pPr>
        <w:pStyle w:val="ListParagraph"/>
        <w:ind w:left="0" w:firstLine="720"/>
      </w:pPr>
      <w:r>
        <w:t>Буџетски корисници треба да преиспитају оправданост формираних комисија и других радних тела , као и потребу оснивања нових , осим оних предвиђеним законом (423--  Услуге по уговору).</w:t>
      </w:r>
    </w:p>
    <w:p w:rsidR="003871BB" w:rsidRDefault="0070156E" w:rsidP="003871BB">
      <w:pPr>
        <w:pStyle w:val="ListParagraph"/>
        <w:ind w:left="0" w:firstLine="720"/>
      </w:pPr>
      <w:r>
        <w:t xml:space="preserve">Препорука је да буџетски корисници у буџетској процедури преиспитају и потребу смањења других накнада за рад, које нису обухваћене Законом (уговори о делу, привремено повремени послови и др), а све у циљу великих потреба фискалног прилагођавања. </w:t>
      </w:r>
    </w:p>
    <w:p w:rsidR="003871BB" w:rsidRDefault="0070156E" w:rsidP="003871BB">
      <w:pPr>
        <w:pStyle w:val="ListParagraph"/>
        <w:ind w:left="0" w:firstLine="720"/>
      </w:pPr>
      <w:r>
        <w:t xml:space="preserve">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Група конта 45 - Субвенције и група конта 62 - Набавка финансијске имовине</w:t>
      </w:r>
      <w:r>
        <w:t xml:space="preserve"> </w:t>
      </w:r>
    </w:p>
    <w:p w:rsidR="003871BB" w:rsidRDefault="0070156E" w:rsidP="003871BB">
      <w:pPr>
        <w:pStyle w:val="ListParagraph"/>
        <w:ind w:left="0" w:firstLine="720"/>
      </w:pPr>
      <w:r>
        <w:t xml:space="preserve">У оквиру субвенција и буџетских кредита неопходно је преиспитати све програме по основу којих се додељују субвенције и буџетски кредити, имајући у виду мере фискалне консолидације које подразумевају смањење субвенција и буџетских кредита. </w:t>
      </w:r>
    </w:p>
    <w:p w:rsidR="003871BB" w:rsidRDefault="0070156E" w:rsidP="003871BB">
      <w:pPr>
        <w:pStyle w:val="ListParagraph"/>
        <w:ind w:left="0" w:firstLine="720"/>
      </w:pPr>
      <w:r>
        <w:t xml:space="preserve">Приликом планирања средстава за субвенције и њихових намена посебно треба имати у виду све прописе који се тичу државне помоћи. </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Група конта 48 – Остали расходи</w:t>
      </w:r>
      <w:r>
        <w:t xml:space="preserve"> </w:t>
      </w:r>
    </w:p>
    <w:p w:rsidR="003871BB" w:rsidRDefault="0070156E" w:rsidP="003871BB">
      <w:pPr>
        <w:pStyle w:val="ListParagraph"/>
        <w:ind w:left="0" w:firstLine="720"/>
      </w:pPr>
      <w:r>
        <w:t xml:space="preserve">Остале расходе, такође треба планирати у складу са рестриктивном политиком која се спроводи у циљу одрживог нивоа дефицита. Приликом планирања наведених расхода, треба имати у виду да се услед недовољног износа средстава на економској класификацији 483 – Новчане казне и пенали по решењу судова, иста повећава смањењем осталих економских класификација, на којима је, због наведеног, неопходно прилагодити преузимање обавеза, како би се на тај начин спречило стварање доцњи. </w:t>
      </w:r>
    </w:p>
    <w:p w:rsidR="003871BB" w:rsidRDefault="0070156E" w:rsidP="003871BB">
      <w:pPr>
        <w:pStyle w:val="ListParagraph"/>
        <w:ind w:left="0" w:firstLine="720"/>
      </w:pPr>
      <w:r>
        <w:t xml:space="preserve">У циљу транспарентнијег приказивања средстава намењених за финансирање редовног рада политичких субјеката, у складу са Законом о финансирању политичких активности потребно је, у опису апропријације економске класификације 481 – Дотације невладиним организацијама, посебно исказати средства за наведену намену. </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Смернице за исказивање издатака за капиталне пројекте за 201</w:t>
      </w:r>
      <w:r w:rsidR="009D6B11">
        <w:rPr>
          <w:b/>
        </w:rPr>
        <w:t>9</w:t>
      </w:r>
      <w:r w:rsidRPr="003871BB">
        <w:rPr>
          <w:b/>
        </w:rPr>
        <w:t xml:space="preserve"> - 202</w:t>
      </w:r>
      <w:r w:rsidR="009D6B11">
        <w:rPr>
          <w:b/>
        </w:rPr>
        <w:t>1</w:t>
      </w:r>
      <w:r>
        <w:t>.</w:t>
      </w:r>
    </w:p>
    <w:p w:rsidR="003871BB" w:rsidRDefault="003871BB" w:rsidP="003871BB">
      <w:pPr>
        <w:pStyle w:val="ListParagraph"/>
        <w:ind w:left="0" w:firstLine="720"/>
      </w:pPr>
    </w:p>
    <w:p w:rsidR="003871BB" w:rsidRDefault="0070156E" w:rsidP="003871BB">
      <w:pPr>
        <w:pStyle w:val="ListParagraph"/>
        <w:ind w:left="0" w:firstLine="720"/>
      </w:pPr>
      <w:r w:rsidRPr="003871BB">
        <w:rPr>
          <w:b/>
        </w:rPr>
        <w:t xml:space="preserve"> Класа 5 –Издаци за нефинансијску имовину</w:t>
      </w:r>
      <w:r>
        <w:t xml:space="preserve"> </w:t>
      </w:r>
    </w:p>
    <w:p w:rsidR="003871BB" w:rsidRDefault="0070156E" w:rsidP="003871BB">
      <w:pPr>
        <w:pStyle w:val="ListParagraph"/>
        <w:ind w:left="0" w:firstLine="720"/>
      </w:pPr>
      <w:r>
        <w:t xml:space="preserve">Набавке административне, канцеларијске опреме, аутомобила и осталих основних средстава за редован рад потребно је планирати уз максималне уштеде, тако да се само врше набавке средстава неопходних за рад. </w:t>
      </w:r>
    </w:p>
    <w:p w:rsidR="003871BB" w:rsidRDefault="0070156E" w:rsidP="003871BB">
      <w:pPr>
        <w:pStyle w:val="ListParagraph"/>
        <w:ind w:left="0" w:firstLine="720"/>
      </w:pPr>
      <w:r>
        <w:t xml:space="preserve">Важно је да корисници не исказују као капиталне издатке текуће поправке и одржавање зграда, објеката и опреме, већ да расходе за те намене (за молерске, зидарске радове, поправке електронске и електричне опреме итд.) планирају на апропријацији економске класификације 425 – Текуће поправке и одржавање, док средства за капиталне пројекте треба да планирају на контима групе 51, 52 и 54. </w:t>
      </w:r>
    </w:p>
    <w:p w:rsidR="009125B2" w:rsidRPr="009125B2" w:rsidRDefault="009125B2" w:rsidP="003871BB">
      <w:pPr>
        <w:pStyle w:val="ListParagraph"/>
        <w:ind w:left="0" w:firstLine="720"/>
      </w:pPr>
    </w:p>
    <w:p w:rsidR="003871BB" w:rsidRPr="003871BB" w:rsidRDefault="0070156E" w:rsidP="003871BB">
      <w:pPr>
        <w:pStyle w:val="ListParagraph"/>
        <w:ind w:left="0" w:firstLine="720"/>
        <w:rPr>
          <w:b/>
        </w:rPr>
      </w:pPr>
      <w:r w:rsidRPr="003871BB">
        <w:rPr>
          <w:b/>
        </w:rPr>
        <w:t xml:space="preserve"> Капитални пројекти и њихов значај</w:t>
      </w:r>
    </w:p>
    <w:p w:rsidR="003871BB" w:rsidRDefault="0070156E" w:rsidP="003871BB">
      <w:pPr>
        <w:pStyle w:val="ListParagraph"/>
        <w:ind w:left="0" w:firstLine="720"/>
      </w:pPr>
      <w:r>
        <w:t xml:space="preserve"> Капитални пројекти су пројекти изградње и капиталног одржавања зграда и грађевинских објеката инфраструктуре од интереса за локалну власт, укључујући услуге пројектног планирања које је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 </w:t>
      </w:r>
    </w:p>
    <w:p w:rsidR="003871BB" w:rsidRDefault="0070156E" w:rsidP="003871BB">
      <w:pPr>
        <w:pStyle w:val="ListParagraph"/>
        <w:ind w:left="0" w:firstLine="720"/>
      </w:pPr>
      <w:r>
        <w:t xml:space="preserve">Капиталним пројектима се увећава имовина локалне власти путем изградње и капиталног одржавања грађевинских објеката инфраструктуре и улагања у опрему, машине и другу нефинансијску имовину. </w:t>
      </w:r>
    </w:p>
    <w:p w:rsidR="009125B2" w:rsidRPr="009125B2" w:rsidRDefault="009125B2" w:rsidP="003871BB">
      <w:pPr>
        <w:pStyle w:val="ListParagraph"/>
        <w:ind w:left="0" w:firstLine="720"/>
      </w:pPr>
    </w:p>
    <w:p w:rsidR="003871BB" w:rsidRDefault="0070156E" w:rsidP="003871BB">
      <w:pPr>
        <w:pStyle w:val="ListParagraph"/>
        <w:ind w:left="0" w:firstLine="720"/>
      </w:pPr>
      <w:r w:rsidRPr="003871BB">
        <w:rPr>
          <w:b/>
        </w:rPr>
        <w:lastRenderedPageBreak/>
        <w:t>Вишегодишње планирање капиталних пројеката</w:t>
      </w:r>
      <w:r>
        <w:t xml:space="preserve"> </w:t>
      </w:r>
    </w:p>
    <w:p w:rsidR="00F20FD5" w:rsidRDefault="0070156E" w:rsidP="003871BB">
      <w:pPr>
        <w:pStyle w:val="ListParagraph"/>
        <w:ind w:left="0" w:firstLine="720"/>
      </w:pPr>
      <w:r>
        <w:t>У складу са Законом о буџетском систему капитални издаци се исказују за три године у општем делу одлуке о буџету локалне власти, без обзира да ли се капитални пројекти уговарају фазно по годинама или корисник преузима обавезе по уговору који захтева плаћање у више година.</w:t>
      </w:r>
    </w:p>
    <w:p w:rsidR="00F20FD5" w:rsidRDefault="0070156E" w:rsidP="003871BB">
      <w:pPr>
        <w:pStyle w:val="ListParagraph"/>
        <w:ind w:left="0" w:firstLine="720"/>
      </w:pPr>
      <w:r>
        <w:t xml:space="preserve"> Приликом вишегодишњег планирања капиталних пројеката корисници полазе од: - Општег дела одлуке о буџету локалне власти за обавезе по уговору које се односе на капиталне издатке и захтевају плаћање у више година, а које су корисници у 201</w:t>
      </w:r>
      <w:r w:rsidR="00CF4C0F">
        <w:t>8</w:t>
      </w:r>
      <w:r>
        <w:t>. години преузели уз сагласност надлежног извршног органа локалне власти, и дужни су да такву обавезу укључе у финансијски план у години у којој обавеза доспева у износу обавезе за ту годину и планирају по годинама у оквиру лимита на свом разделу;</w:t>
      </w:r>
    </w:p>
    <w:p w:rsidR="00F20FD5" w:rsidRDefault="0070156E" w:rsidP="003871BB">
      <w:pPr>
        <w:pStyle w:val="ListParagraph"/>
        <w:ind w:left="0" w:firstLine="720"/>
      </w:pPr>
      <w:r>
        <w:t xml:space="preserve"> - Општег дела одлуке о буџету локалне власти за капиталне пројекте за које нису преузете вишегодишње обавезе у 201</w:t>
      </w:r>
      <w:r w:rsidR="00CF4C0F">
        <w:t>8</w:t>
      </w:r>
      <w:r>
        <w:t>. години, корисници су у обавези да анализирају физичку и финансијску реализацију тих капиталних пројеката, у циљу ефикасније алокације средстава, као и да укључе капиталне издатке у финансијски план и планирају по годинама у оквиру лимита на свом разделу, за пројекте чија је даља реализација оправдана.</w:t>
      </w:r>
    </w:p>
    <w:p w:rsidR="00F20FD5" w:rsidRDefault="0070156E" w:rsidP="003871BB">
      <w:pPr>
        <w:pStyle w:val="ListParagraph"/>
        <w:ind w:left="0" w:firstLine="720"/>
      </w:pPr>
      <w:r>
        <w:t xml:space="preserve"> На основу урађених анализа, корисници могу одустати од пројеката чија је даља реализација неоправдана. Такође, корисници могу планирати издатке за нове капиталне пројекте у 201</w:t>
      </w:r>
      <w:r w:rsidR="00CF4C0F">
        <w:t>9</w:t>
      </w:r>
      <w:r>
        <w:t>. години и наредне две године.</w:t>
      </w:r>
    </w:p>
    <w:p w:rsidR="00F20FD5" w:rsidRDefault="0070156E" w:rsidP="003871BB">
      <w:pPr>
        <w:pStyle w:val="ListParagraph"/>
        <w:ind w:left="0" w:firstLine="720"/>
      </w:pPr>
      <w:r>
        <w:t xml:space="preserve"> Предност у планирању нових капиталних пројеката на извођењу радова треба дати онима који су спремни за реализацију (који имају пројектно - техничку документацију, грађевинску дозволу, као и документацију неопходну за спровођење поступка јавне набавке).</w:t>
      </w:r>
    </w:p>
    <w:p w:rsidR="00F20FD5" w:rsidRDefault="0070156E" w:rsidP="003871BB">
      <w:pPr>
        <w:pStyle w:val="ListParagraph"/>
        <w:ind w:left="0" w:firstLine="720"/>
      </w:pPr>
      <w:r>
        <w:t xml:space="preserve"> Такође, важно је планирати капиталне пројекте по годинама у оном износу који је остварив и одговаран са фискалне и економске тачке гледишта, имајући у виду низак ниво реализације пројеката у претходним годинама.</w:t>
      </w:r>
    </w:p>
    <w:p w:rsidR="009125B2" w:rsidRPr="009125B2" w:rsidRDefault="009125B2" w:rsidP="003871BB">
      <w:pPr>
        <w:pStyle w:val="ListParagraph"/>
        <w:ind w:left="0" w:firstLine="720"/>
      </w:pPr>
    </w:p>
    <w:p w:rsidR="00F20FD5" w:rsidRDefault="0070156E" w:rsidP="003871BB">
      <w:pPr>
        <w:pStyle w:val="ListParagraph"/>
        <w:ind w:left="0" w:firstLine="720"/>
      </w:pPr>
      <w:r>
        <w:t xml:space="preserve"> </w:t>
      </w:r>
      <w:r w:rsidRPr="00F20FD5">
        <w:rPr>
          <w:b/>
        </w:rPr>
        <w:t>Планирање издатака за капиталне пројекте</w:t>
      </w:r>
      <w:r>
        <w:t xml:space="preserve"> </w:t>
      </w:r>
    </w:p>
    <w:p w:rsidR="00F20FD5" w:rsidRDefault="0070156E" w:rsidP="003871BB">
      <w:pPr>
        <w:pStyle w:val="ListParagraph"/>
        <w:ind w:left="0" w:firstLine="720"/>
      </w:pPr>
      <w:r>
        <w:t>Ради ефикаснијег планирања издатака за капиталне пројекте корисници буџетских средстава дужни су да локалном органу надлежном за финансије доставе попуњену табелу - План капиталних улагања. У наведеној табели, корисници су у обавези да искажу планиране издатке за капиталне пројекте по годинама који се односе на изградњу и капитално одржавање, по контима на трећем и четвртом нивоу, и то:</w:t>
      </w:r>
    </w:p>
    <w:p w:rsidR="00F20FD5" w:rsidRDefault="0070156E" w:rsidP="003871BB">
      <w:pPr>
        <w:pStyle w:val="ListParagraph"/>
        <w:ind w:left="0" w:firstLine="720"/>
      </w:pPr>
      <w:r>
        <w:t xml:space="preserve"> 1) издатке за израду пројектно-техничке документације на конту 5114 (осим уколико је иста већ израђена);</w:t>
      </w:r>
    </w:p>
    <w:p w:rsidR="00F20FD5" w:rsidRDefault="0070156E" w:rsidP="003871BB">
      <w:pPr>
        <w:pStyle w:val="ListParagraph"/>
        <w:ind w:left="0" w:firstLine="720"/>
      </w:pPr>
      <w:r>
        <w:t xml:space="preserve"> 2) издатке за експропријацију земљишта на конту 5411; </w:t>
      </w:r>
    </w:p>
    <w:p w:rsidR="00F20FD5" w:rsidRDefault="0070156E" w:rsidP="003871BB">
      <w:pPr>
        <w:pStyle w:val="ListParagraph"/>
        <w:ind w:left="0" w:firstLine="720"/>
      </w:pPr>
      <w:r>
        <w:t xml:space="preserve">3) издатке за извођење радова на изградњи, односно извођење радова на капиталном одржавању на контима 5112 и 5113; </w:t>
      </w:r>
    </w:p>
    <w:p w:rsidR="00F20FD5" w:rsidRDefault="0070156E" w:rsidP="003871BB">
      <w:pPr>
        <w:pStyle w:val="ListParagraph"/>
        <w:ind w:left="0" w:firstLine="720"/>
      </w:pPr>
      <w:r>
        <w:t>4) издатке за ангажовање стручног надзора на конту 5114 (осим уколико исти нису планирани од стране инвеститора или на неки други начин).</w:t>
      </w:r>
    </w:p>
    <w:p w:rsidR="00F20FD5" w:rsidRDefault="0070156E" w:rsidP="003871BB">
      <w:pPr>
        <w:pStyle w:val="ListParagraph"/>
        <w:ind w:left="0" w:firstLine="720"/>
      </w:pPr>
      <w:r>
        <w:t xml:space="preserve"> Корисници су у обавези да, поред издатака за вишегодишње капиталне пројекте, у табели искажу и капиталне издатке за све једногодишње пројекте односно за пројекте чија реализација траје годину дана.</w:t>
      </w:r>
    </w:p>
    <w:p w:rsidR="00F20FD5" w:rsidRDefault="0070156E" w:rsidP="003871BB">
      <w:pPr>
        <w:pStyle w:val="ListParagraph"/>
        <w:ind w:left="0" w:firstLine="720"/>
      </w:pPr>
      <w:r>
        <w:lastRenderedPageBreak/>
        <w:t xml:space="preserve"> Такође, на основу свеобухватне процене потреба, пројекте је потребно рангирати по приоритетима, у складу са усвојеним стратешким документима, водећи рачуна да приоритет у финансирању имају већ започети пројекти.</w:t>
      </w:r>
    </w:p>
    <w:p w:rsidR="00F20FD5" w:rsidRDefault="0070156E" w:rsidP="003871BB">
      <w:pPr>
        <w:pStyle w:val="ListParagraph"/>
        <w:ind w:left="0" w:firstLine="720"/>
      </w:pPr>
      <w:r>
        <w:t xml:space="preserve"> Набавка роба и услуга и капитална улагања морају се вршити у складу са Законом о јавним набавкама. </w:t>
      </w:r>
    </w:p>
    <w:p w:rsidR="00F20FD5" w:rsidRPr="00F20FD5" w:rsidRDefault="00F20FD5" w:rsidP="003871BB">
      <w:pPr>
        <w:pStyle w:val="ListParagraph"/>
        <w:ind w:left="0" w:firstLine="720"/>
      </w:pPr>
    </w:p>
    <w:p w:rsidR="00F20FD5" w:rsidRDefault="0070156E" w:rsidP="003871BB">
      <w:pPr>
        <w:pStyle w:val="ListParagraph"/>
        <w:ind w:left="0" w:firstLine="720"/>
      </w:pPr>
      <w:r w:rsidRPr="00F20FD5">
        <w:rPr>
          <w:b/>
        </w:rPr>
        <w:t xml:space="preserve"> II ОПИС ПЛАНИРАНЕ ПОЛИТИКЕ ОПШТИНЕ </w:t>
      </w:r>
      <w:r w:rsidR="00F20FD5" w:rsidRPr="00F20FD5">
        <w:rPr>
          <w:b/>
        </w:rPr>
        <w:t>ЋИЋЕВАЦ</w:t>
      </w:r>
      <w:r w:rsidRPr="00F20FD5">
        <w:rPr>
          <w:b/>
        </w:rPr>
        <w:t xml:space="preserve"> ЗА 2018. ГОДИНУ</w:t>
      </w:r>
      <w:r>
        <w:t xml:space="preserve"> </w:t>
      </w:r>
    </w:p>
    <w:p w:rsidR="00D80BF8" w:rsidRPr="00D80BF8" w:rsidRDefault="00D80BF8" w:rsidP="003871BB">
      <w:pPr>
        <w:pStyle w:val="ListParagraph"/>
        <w:ind w:left="0" w:firstLine="720"/>
      </w:pPr>
    </w:p>
    <w:p w:rsidR="003E5920" w:rsidRDefault="0070156E" w:rsidP="003C61A5">
      <w:pPr>
        <w:pStyle w:val="ListParagraph"/>
        <w:ind w:left="0" w:firstLine="720"/>
      </w:pPr>
      <w:r>
        <w:t xml:space="preserve">Политика коју ће Општина </w:t>
      </w:r>
      <w:r w:rsidR="00F20FD5">
        <w:t>Ћићевац</w:t>
      </w:r>
      <w:r>
        <w:t xml:space="preserve"> водити у 201</w:t>
      </w:r>
      <w:r w:rsidR="00CF4C0F">
        <w:t>9</w:t>
      </w:r>
      <w:r>
        <w:t xml:space="preserve">. години, поред вршења законом утврђених надлежности, биће усмерена на остваривање стратешких циљева дефинисаних Стратегијом одрживог развоја Општине </w:t>
      </w:r>
      <w:r w:rsidR="00F20FD5">
        <w:t xml:space="preserve">Ћићевац </w:t>
      </w:r>
      <w:r>
        <w:t xml:space="preserve"> 201</w:t>
      </w:r>
      <w:r w:rsidR="003E5920">
        <w:t>3</w:t>
      </w:r>
      <w:r>
        <w:t>. до 202</w:t>
      </w:r>
      <w:r w:rsidR="003E5920">
        <w:t>2</w:t>
      </w:r>
      <w:r>
        <w:t xml:space="preserve">. Скупштина општине </w:t>
      </w:r>
      <w:r w:rsidR="00F20FD5">
        <w:t xml:space="preserve">Ћићевац </w:t>
      </w:r>
      <w:r>
        <w:t xml:space="preserve"> на седници одржаној </w:t>
      </w:r>
      <w:r w:rsidR="003E5920">
        <w:t>15</w:t>
      </w:r>
      <w:r>
        <w:t>.03.201</w:t>
      </w:r>
      <w:r w:rsidR="003E5920">
        <w:t>3</w:t>
      </w:r>
      <w:r>
        <w:t>. године, донела је Страте</w:t>
      </w:r>
      <w:r w:rsidR="003E5920">
        <w:t xml:space="preserve">гију одрживог развоја Општине Ћићевац </w:t>
      </w:r>
      <w:r>
        <w:t xml:space="preserve"> 201</w:t>
      </w:r>
      <w:r w:rsidR="003E5920">
        <w:t>3</w:t>
      </w:r>
      <w:r>
        <w:t>–202</w:t>
      </w:r>
      <w:r w:rsidR="003E5920">
        <w:t>2</w:t>
      </w:r>
      <w:r>
        <w:t xml:space="preserve">. година. Овај документ, али и друга усвојена стратешка, планска и програмска документа која се спроводе у средњорочном периоду представљају основ за успостављање везе између стратешког планирања и програмског буџета, те их у складу са датим обимом средстава треба имати у виду приликом имплементације у програмску структуру буџетског корисника. </w:t>
      </w:r>
    </w:p>
    <w:p w:rsidR="003C61A5" w:rsidRPr="003C61A5" w:rsidRDefault="003C61A5" w:rsidP="003C61A5">
      <w:pPr>
        <w:pStyle w:val="ListParagraph"/>
        <w:ind w:left="0" w:firstLine="720"/>
      </w:pPr>
    </w:p>
    <w:p w:rsidR="00F053CF" w:rsidRDefault="00F053CF" w:rsidP="003871BB">
      <w:pPr>
        <w:pStyle w:val="ListParagraph"/>
        <w:ind w:left="0" w:firstLine="720"/>
      </w:pPr>
    </w:p>
    <w:p w:rsidR="00F053CF" w:rsidRDefault="0070156E" w:rsidP="003871BB">
      <w:pPr>
        <w:pStyle w:val="ListParagraph"/>
        <w:ind w:left="0" w:firstLine="720"/>
      </w:pPr>
      <w:r w:rsidRPr="00F053CF">
        <w:rPr>
          <w:b/>
        </w:rPr>
        <w:t xml:space="preserve">III ПРОЦЕНА ПРИХОДА И ПРИМАЊА И РАСХОДА И ИЗДАТАКА БУЏЕТА ОПШТИНЕ </w:t>
      </w:r>
      <w:r w:rsidR="00F053CF" w:rsidRPr="00F053CF">
        <w:rPr>
          <w:b/>
        </w:rPr>
        <w:t xml:space="preserve">ЋИЋЕВАЦ </w:t>
      </w:r>
      <w:r w:rsidRPr="00F053CF">
        <w:rPr>
          <w:b/>
        </w:rPr>
        <w:t xml:space="preserve"> ЗА 201</w:t>
      </w:r>
      <w:r w:rsidR="00CF4C0F">
        <w:rPr>
          <w:b/>
        </w:rPr>
        <w:t>9</w:t>
      </w:r>
      <w:r w:rsidRPr="00F053CF">
        <w:rPr>
          <w:b/>
        </w:rPr>
        <w:t>. ГОДИНУ И НАРЕДНЕ ДВЕ ФИСКАЛНЕ ГОДИНЕ</w:t>
      </w:r>
      <w:r>
        <w:t xml:space="preserve"> </w:t>
      </w:r>
    </w:p>
    <w:p w:rsidR="00F053CF" w:rsidRDefault="00F053CF" w:rsidP="003871BB">
      <w:pPr>
        <w:pStyle w:val="ListParagraph"/>
        <w:ind w:left="0" w:firstLine="720"/>
      </w:pPr>
    </w:p>
    <w:p w:rsidR="00B66D6D" w:rsidRDefault="0070156E" w:rsidP="003871BB">
      <w:pPr>
        <w:pStyle w:val="ListParagraph"/>
        <w:ind w:left="0" w:firstLine="720"/>
      </w:pPr>
      <w:r>
        <w:t>Законом о буџетском систему утврђено је да се пројектовање прихода и расхода врши за 201</w:t>
      </w:r>
      <w:r w:rsidR="00CF4C0F">
        <w:t>9</w:t>
      </w:r>
      <w:r>
        <w:t xml:space="preserve">. </w:t>
      </w:r>
      <w:r w:rsidR="00CF4C0F">
        <w:t>годину и наредне две године (2020</w:t>
      </w:r>
      <w:r>
        <w:t>.г. и 202</w:t>
      </w:r>
      <w:r w:rsidR="00CF4C0F">
        <w:t>1</w:t>
      </w:r>
      <w:r>
        <w:t xml:space="preserve">.г.). </w:t>
      </w:r>
    </w:p>
    <w:p w:rsidR="00B66D6D" w:rsidRDefault="0070156E" w:rsidP="003871BB">
      <w:pPr>
        <w:pStyle w:val="ListParagraph"/>
        <w:ind w:left="0" w:firstLine="720"/>
      </w:pPr>
      <w:r>
        <w:t>Полазна основа за планирање обима буџета за 201</w:t>
      </w:r>
      <w:r w:rsidR="00CF4C0F">
        <w:t>9</w:t>
      </w:r>
      <w:r>
        <w:t xml:space="preserve">. годину били су планирани приходи и примања из Одлуке о буџету општине </w:t>
      </w:r>
      <w:r w:rsidR="00F611B8">
        <w:t>Ћићевац</w:t>
      </w:r>
      <w:r>
        <w:t xml:space="preserve"> за 201</w:t>
      </w:r>
      <w:r w:rsidR="00CF4C0F">
        <w:t>8</w:t>
      </w:r>
      <w:r>
        <w:t>. годину</w:t>
      </w:r>
      <w:r w:rsidR="00536C1C">
        <w:t xml:space="preserve"> </w:t>
      </w:r>
      <w:r>
        <w:t xml:space="preserve">(Сл. лист општине </w:t>
      </w:r>
      <w:r w:rsidR="00F611B8">
        <w:t>Ћићевац</w:t>
      </w:r>
      <w:r>
        <w:t xml:space="preserve">, број </w:t>
      </w:r>
      <w:r w:rsidR="00536C1C">
        <w:t>21</w:t>
      </w:r>
      <w:r>
        <w:t>/201</w:t>
      </w:r>
      <w:r w:rsidR="00536C1C">
        <w:t>7</w:t>
      </w:r>
      <w:r>
        <w:t>), као и планирани расходи и издаци из исте Одлуке из извора 01 – Приходи из буџета, уз примену одговарајућих парам</w:t>
      </w:r>
      <w:r w:rsidR="00EC729D">
        <w:t>е</w:t>
      </w:r>
      <w:r>
        <w:t>тара из Фискалне стратегије за 2017-2019. године.</w:t>
      </w:r>
    </w:p>
    <w:p w:rsidR="00B66D6D" w:rsidRDefault="0070156E" w:rsidP="003871BB">
      <w:pPr>
        <w:pStyle w:val="ListParagraph"/>
        <w:ind w:left="0" w:firstLine="720"/>
      </w:pPr>
      <w:r>
        <w:t xml:space="preserve"> Пројекција прихода и примања буџета општине </w:t>
      </w:r>
      <w:r w:rsidR="00F611B8">
        <w:t>Ћићевац</w:t>
      </w:r>
      <w:r>
        <w:t xml:space="preserve"> за период 201</w:t>
      </w:r>
      <w:r w:rsidR="00CF4C0F">
        <w:t>9</w:t>
      </w:r>
      <w:r>
        <w:t>-202</w:t>
      </w:r>
      <w:r w:rsidR="00CF4C0F">
        <w:t>1</w:t>
      </w:r>
      <w:r>
        <w:t xml:space="preserve">. године, извршена је на следећи начин у динарима: </w:t>
      </w:r>
    </w:p>
    <w:p w:rsidR="00536C1C" w:rsidRDefault="00536C1C" w:rsidP="003871BB">
      <w:pPr>
        <w:pStyle w:val="ListParagraph"/>
        <w:ind w:left="0" w:firstLine="720"/>
      </w:pPr>
    </w:p>
    <w:p w:rsidR="00536C1C" w:rsidRPr="00536C1C" w:rsidRDefault="00536C1C" w:rsidP="003871BB">
      <w:pPr>
        <w:pStyle w:val="ListParagraph"/>
        <w:ind w:left="0" w:firstLine="720"/>
      </w:pPr>
    </w:p>
    <w:p w:rsidR="00B66D6D" w:rsidRPr="00B66D6D" w:rsidRDefault="00B66D6D" w:rsidP="003871BB">
      <w:pPr>
        <w:pStyle w:val="ListParagraph"/>
        <w:ind w:left="0" w:firstLine="720"/>
      </w:pPr>
    </w:p>
    <w:p w:rsidR="00B66D6D" w:rsidRDefault="0070156E" w:rsidP="00B66D6D">
      <w:pPr>
        <w:pStyle w:val="ListParagraph"/>
        <w:ind w:left="0" w:firstLine="720"/>
      </w:pPr>
      <w:r>
        <w:t>Табела: Пројекција прихода и примања за 201</w:t>
      </w:r>
      <w:r w:rsidR="00CF4C0F">
        <w:t>9</w:t>
      </w:r>
      <w:r>
        <w:t>-202</w:t>
      </w:r>
      <w:r w:rsidR="00CF4C0F">
        <w:t>1</w:t>
      </w:r>
      <w:r>
        <w:t>.</w:t>
      </w:r>
    </w:p>
    <w:p w:rsidR="00817D20" w:rsidRDefault="00817D20" w:rsidP="00B66D6D">
      <w:pPr>
        <w:pStyle w:val="ListParagraph"/>
        <w:ind w:left="0" w:firstLine="720"/>
      </w:pPr>
    </w:p>
    <w:p w:rsidR="00817D20" w:rsidRDefault="00817D20" w:rsidP="00B66D6D">
      <w:pPr>
        <w:pStyle w:val="ListParagraph"/>
        <w:ind w:left="0" w:firstLine="720"/>
      </w:pPr>
    </w:p>
    <w:tbl>
      <w:tblPr>
        <w:tblStyle w:val="TableGrid"/>
        <w:tblW w:w="0" w:type="auto"/>
        <w:tblLook w:val="04A0"/>
      </w:tblPr>
      <w:tblGrid>
        <w:gridCol w:w="716"/>
        <w:gridCol w:w="2966"/>
        <w:gridCol w:w="1473"/>
        <w:gridCol w:w="1473"/>
        <w:gridCol w:w="1475"/>
      </w:tblGrid>
      <w:tr w:rsidR="00D82AF5" w:rsidTr="00D82AF5">
        <w:trPr>
          <w:trHeight w:val="260"/>
        </w:trPr>
        <w:tc>
          <w:tcPr>
            <w:tcW w:w="716" w:type="dxa"/>
            <w:vMerge w:val="restart"/>
          </w:tcPr>
          <w:p w:rsidR="00D82AF5" w:rsidRDefault="00D82AF5" w:rsidP="00B66D6D">
            <w:pPr>
              <w:pStyle w:val="ListParagraph"/>
              <w:ind w:left="0"/>
            </w:pPr>
            <w:r>
              <w:t>Екон.</w:t>
            </w:r>
          </w:p>
          <w:p w:rsidR="00D82AF5" w:rsidRPr="00D82AF5" w:rsidRDefault="00D82AF5" w:rsidP="00B66D6D">
            <w:pPr>
              <w:pStyle w:val="ListParagraph"/>
              <w:ind w:left="0"/>
            </w:pPr>
            <w:r>
              <w:t>клас.</w:t>
            </w:r>
          </w:p>
        </w:tc>
        <w:tc>
          <w:tcPr>
            <w:tcW w:w="2966" w:type="dxa"/>
            <w:vMerge w:val="restart"/>
          </w:tcPr>
          <w:p w:rsidR="00D82AF5" w:rsidRPr="00D82AF5" w:rsidRDefault="00D82AF5" w:rsidP="00D82AF5">
            <w:pPr>
              <w:pStyle w:val="ListParagraph"/>
              <w:ind w:left="0"/>
              <w:jc w:val="center"/>
            </w:pPr>
            <w:r>
              <w:t>Врста прихода</w:t>
            </w:r>
          </w:p>
        </w:tc>
        <w:tc>
          <w:tcPr>
            <w:tcW w:w="4421" w:type="dxa"/>
            <w:gridSpan w:val="3"/>
            <w:tcBorders>
              <w:bottom w:val="single" w:sz="4" w:space="0" w:color="auto"/>
            </w:tcBorders>
          </w:tcPr>
          <w:p w:rsidR="00D82AF5" w:rsidRPr="00A46CAB" w:rsidRDefault="00A46CAB" w:rsidP="00A46CAB">
            <w:pPr>
              <w:pStyle w:val="ListParagraph"/>
              <w:ind w:left="0"/>
              <w:jc w:val="center"/>
            </w:pPr>
            <w:r>
              <w:t>Пројекција за</w:t>
            </w:r>
          </w:p>
        </w:tc>
      </w:tr>
      <w:tr w:rsidR="00D82AF5" w:rsidTr="00D82AF5">
        <w:trPr>
          <w:trHeight w:val="272"/>
        </w:trPr>
        <w:tc>
          <w:tcPr>
            <w:tcW w:w="716" w:type="dxa"/>
            <w:vMerge/>
          </w:tcPr>
          <w:p w:rsidR="00D82AF5" w:rsidRDefault="00D82AF5" w:rsidP="00B66D6D">
            <w:pPr>
              <w:pStyle w:val="ListParagraph"/>
              <w:ind w:left="0"/>
            </w:pPr>
          </w:p>
        </w:tc>
        <w:tc>
          <w:tcPr>
            <w:tcW w:w="2966" w:type="dxa"/>
            <w:vMerge/>
          </w:tcPr>
          <w:p w:rsidR="00D82AF5" w:rsidRDefault="00D82AF5" w:rsidP="00B66D6D">
            <w:pPr>
              <w:pStyle w:val="ListParagraph"/>
              <w:ind w:left="0"/>
            </w:pPr>
          </w:p>
        </w:tc>
        <w:tc>
          <w:tcPr>
            <w:tcW w:w="1473" w:type="dxa"/>
            <w:tcBorders>
              <w:top w:val="single" w:sz="4" w:space="0" w:color="auto"/>
              <w:right w:val="single" w:sz="4" w:space="0" w:color="auto"/>
            </w:tcBorders>
          </w:tcPr>
          <w:p w:rsidR="00D82AF5" w:rsidRPr="00CF4C0F" w:rsidRDefault="00A46CAB" w:rsidP="00CF4C0F">
            <w:pPr>
              <w:pStyle w:val="ListParagraph"/>
              <w:ind w:left="0"/>
              <w:jc w:val="center"/>
            </w:pPr>
            <w:r>
              <w:t>201</w:t>
            </w:r>
            <w:r w:rsidR="00CF4C0F">
              <w:t>9</w:t>
            </w:r>
          </w:p>
        </w:tc>
        <w:tc>
          <w:tcPr>
            <w:tcW w:w="2948" w:type="dxa"/>
            <w:gridSpan w:val="2"/>
            <w:tcBorders>
              <w:top w:val="single" w:sz="4" w:space="0" w:color="auto"/>
              <w:left w:val="single" w:sz="4" w:space="0" w:color="auto"/>
            </w:tcBorders>
          </w:tcPr>
          <w:p w:rsidR="00D82AF5" w:rsidRPr="00CF4C0F" w:rsidRDefault="00CF4C0F" w:rsidP="00CF4C0F">
            <w:pPr>
              <w:pStyle w:val="ListParagraph"/>
              <w:ind w:left="0"/>
              <w:jc w:val="center"/>
            </w:pPr>
            <w:r>
              <w:t>2020</w:t>
            </w:r>
            <w:r w:rsidR="00A46CAB">
              <w:t xml:space="preserve">                           202</w:t>
            </w:r>
            <w:r>
              <w:t>1</w:t>
            </w:r>
          </w:p>
        </w:tc>
      </w:tr>
      <w:tr w:rsidR="00D82AF5" w:rsidTr="00D82AF5">
        <w:tc>
          <w:tcPr>
            <w:tcW w:w="716" w:type="dxa"/>
          </w:tcPr>
          <w:p w:rsidR="00D82AF5" w:rsidRPr="00D82AF5" w:rsidRDefault="00D82AF5" w:rsidP="00B66D6D">
            <w:pPr>
              <w:pStyle w:val="ListParagraph"/>
              <w:ind w:left="0"/>
            </w:pPr>
            <w:r>
              <w:t>71</w:t>
            </w:r>
          </w:p>
        </w:tc>
        <w:tc>
          <w:tcPr>
            <w:tcW w:w="2966" w:type="dxa"/>
          </w:tcPr>
          <w:p w:rsidR="00D82AF5" w:rsidRPr="00A46CAB" w:rsidRDefault="00A46CAB" w:rsidP="00B66D6D">
            <w:pPr>
              <w:pStyle w:val="ListParagraph"/>
              <w:ind w:left="0"/>
            </w:pPr>
            <w:r>
              <w:t>Порези</w:t>
            </w:r>
          </w:p>
        </w:tc>
        <w:tc>
          <w:tcPr>
            <w:tcW w:w="1473" w:type="dxa"/>
            <w:tcBorders>
              <w:right w:val="single" w:sz="4" w:space="0" w:color="auto"/>
            </w:tcBorders>
          </w:tcPr>
          <w:p w:rsidR="00D82AF5" w:rsidRPr="00795F5D" w:rsidRDefault="00795F5D" w:rsidP="000E2A0E">
            <w:pPr>
              <w:pStyle w:val="ListParagraph"/>
              <w:ind w:left="0"/>
              <w:jc w:val="right"/>
            </w:pPr>
            <w:r>
              <w:t>1</w:t>
            </w:r>
            <w:r w:rsidR="000E2A0E">
              <w:t>5</w:t>
            </w:r>
            <w:r>
              <w:t>0.000.000</w:t>
            </w:r>
          </w:p>
        </w:tc>
        <w:tc>
          <w:tcPr>
            <w:tcW w:w="1473" w:type="dxa"/>
            <w:tcBorders>
              <w:left w:val="single" w:sz="4" w:space="0" w:color="auto"/>
            </w:tcBorders>
          </w:tcPr>
          <w:p w:rsidR="00D82AF5" w:rsidRPr="000E2A0E" w:rsidRDefault="000E2A0E" w:rsidP="000E2A0E">
            <w:pPr>
              <w:pStyle w:val="ListParagraph"/>
              <w:ind w:left="0"/>
              <w:jc w:val="right"/>
            </w:pPr>
            <w:r>
              <w:t>140.000.000</w:t>
            </w:r>
          </w:p>
        </w:tc>
        <w:tc>
          <w:tcPr>
            <w:tcW w:w="1475" w:type="dxa"/>
          </w:tcPr>
          <w:p w:rsidR="00D82AF5" w:rsidRPr="000E2A0E" w:rsidRDefault="000E2A0E" w:rsidP="000E2A0E">
            <w:pPr>
              <w:pStyle w:val="ListParagraph"/>
              <w:ind w:left="0"/>
              <w:jc w:val="right"/>
            </w:pPr>
            <w:r>
              <w:t>140.000.000</w:t>
            </w:r>
          </w:p>
        </w:tc>
      </w:tr>
      <w:tr w:rsidR="00D82AF5" w:rsidTr="00D82AF5">
        <w:tc>
          <w:tcPr>
            <w:tcW w:w="716" w:type="dxa"/>
          </w:tcPr>
          <w:p w:rsidR="00D82AF5" w:rsidRPr="00D82AF5" w:rsidRDefault="00D82AF5" w:rsidP="00B66D6D">
            <w:pPr>
              <w:pStyle w:val="ListParagraph"/>
              <w:ind w:left="0"/>
            </w:pPr>
            <w:r>
              <w:t>73</w:t>
            </w:r>
          </w:p>
        </w:tc>
        <w:tc>
          <w:tcPr>
            <w:tcW w:w="2966" w:type="dxa"/>
          </w:tcPr>
          <w:p w:rsidR="00D82AF5" w:rsidRPr="00A46CAB" w:rsidRDefault="00A46CAB" w:rsidP="00B66D6D">
            <w:pPr>
              <w:pStyle w:val="ListParagraph"/>
              <w:ind w:left="0"/>
            </w:pPr>
            <w:r>
              <w:t>Донације и трансфери</w:t>
            </w:r>
          </w:p>
        </w:tc>
        <w:tc>
          <w:tcPr>
            <w:tcW w:w="1473" w:type="dxa"/>
            <w:tcBorders>
              <w:right w:val="single" w:sz="4" w:space="0" w:color="auto"/>
            </w:tcBorders>
          </w:tcPr>
          <w:p w:rsidR="00D82AF5" w:rsidRPr="00795F5D" w:rsidRDefault="00795F5D" w:rsidP="000E2A0E">
            <w:pPr>
              <w:pStyle w:val="ListParagraph"/>
              <w:ind w:left="0"/>
              <w:jc w:val="right"/>
            </w:pPr>
            <w:r>
              <w:t>1</w:t>
            </w:r>
            <w:r w:rsidR="000E2A0E">
              <w:t>3</w:t>
            </w:r>
            <w:r>
              <w:t>0.000.000</w:t>
            </w:r>
          </w:p>
        </w:tc>
        <w:tc>
          <w:tcPr>
            <w:tcW w:w="1473" w:type="dxa"/>
            <w:tcBorders>
              <w:left w:val="single" w:sz="4" w:space="0" w:color="auto"/>
            </w:tcBorders>
          </w:tcPr>
          <w:p w:rsidR="00D82AF5" w:rsidRPr="000E2A0E" w:rsidRDefault="000E2A0E" w:rsidP="000E2A0E">
            <w:pPr>
              <w:pStyle w:val="ListParagraph"/>
              <w:ind w:left="0"/>
              <w:jc w:val="right"/>
            </w:pPr>
            <w:r>
              <w:t>120.000.000</w:t>
            </w:r>
          </w:p>
        </w:tc>
        <w:tc>
          <w:tcPr>
            <w:tcW w:w="1475" w:type="dxa"/>
          </w:tcPr>
          <w:p w:rsidR="00D82AF5" w:rsidRPr="000E2A0E" w:rsidRDefault="000E2A0E" w:rsidP="000E2A0E">
            <w:pPr>
              <w:pStyle w:val="ListParagraph"/>
              <w:ind w:left="0"/>
              <w:jc w:val="right"/>
            </w:pPr>
            <w:r>
              <w:t>120.000.000</w:t>
            </w:r>
          </w:p>
        </w:tc>
      </w:tr>
      <w:tr w:rsidR="00D82AF5" w:rsidTr="00D82AF5">
        <w:tc>
          <w:tcPr>
            <w:tcW w:w="716" w:type="dxa"/>
          </w:tcPr>
          <w:p w:rsidR="00D82AF5" w:rsidRPr="00D82AF5" w:rsidRDefault="00D82AF5" w:rsidP="00B66D6D">
            <w:pPr>
              <w:pStyle w:val="ListParagraph"/>
              <w:ind w:left="0"/>
            </w:pPr>
            <w:r>
              <w:t>74</w:t>
            </w:r>
          </w:p>
        </w:tc>
        <w:tc>
          <w:tcPr>
            <w:tcW w:w="2966" w:type="dxa"/>
          </w:tcPr>
          <w:p w:rsidR="00D82AF5" w:rsidRPr="00A46CAB" w:rsidRDefault="00A46CAB" w:rsidP="00B66D6D">
            <w:pPr>
              <w:pStyle w:val="ListParagraph"/>
              <w:ind w:left="0"/>
            </w:pPr>
            <w:r>
              <w:t>Други приходи</w:t>
            </w:r>
          </w:p>
        </w:tc>
        <w:tc>
          <w:tcPr>
            <w:tcW w:w="1473" w:type="dxa"/>
          </w:tcPr>
          <w:p w:rsidR="00D82AF5" w:rsidRPr="00795F5D" w:rsidRDefault="003D14A5" w:rsidP="000E2A0E">
            <w:pPr>
              <w:pStyle w:val="ListParagraph"/>
              <w:ind w:left="0"/>
              <w:jc w:val="right"/>
            </w:pPr>
            <w:r>
              <w:t>19</w:t>
            </w:r>
            <w:r w:rsidR="00795F5D">
              <w:t>.000.000</w:t>
            </w:r>
          </w:p>
        </w:tc>
        <w:tc>
          <w:tcPr>
            <w:tcW w:w="1473" w:type="dxa"/>
          </w:tcPr>
          <w:p w:rsidR="00D82AF5" w:rsidRPr="000E2A0E" w:rsidRDefault="000E2A0E" w:rsidP="000E2A0E">
            <w:pPr>
              <w:pStyle w:val="ListParagraph"/>
              <w:ind w:left="0"/>
              <w:jc w:val="right"/>
            </w:pPr>
            <w:r>
              <w:t>18.000.000</w:t>
            </w:r>
          </w:p>
        </w:tc>
        <w:tc>
          <w:tcPr>
            <w:tcW w:w="1475" w:type="dxa"/>
          </w:tcPr>
          <w:p w:rsidR="00D82AF5" w:rsidRPr="000E2A0E" w:rsidRDefault="000E2A0E" w:rsidP="000E2A0E">
            <w:pPr>
              <w:pStyle w:val="ListParagraph"/>
              <w:ind w:left="0"/>
              <w:jc w:val="right"/>
            </w:pPr>
            <w:r>
              <w:t>18.000.000</w:t>
            </w:r>
          </w:p>
        </w:tc>
      </w:tr>
      <w:tr w:rsidR="00D82AF5" w:rsidTr="00D82AF5">
        <w:tc>
          <w:tcPr>
            <w:tcW w:w="716" w:type="dxa"/>
          </w:tcPr>
          <w:p w:rsidR="00D82AF5" w:rsidRPr="00D82AF5" w:rsidRDefault="00D82AF5" w:rsidP="00B66D6D">
            <w:pPr>
              <w:pStyle w:val="ListParagraph"/>
              <w:ind w:left="0"/>
            </w:pPr>
            <w:r>
              <w:t>77</w:t>
            </w:r>
          </w:p>
        </w:tc>
        <w:tc>
          <w:tcPr>
            <w:tcW w:w="2966" w:type="dxa"/>
          </w:tcPr>
          <w:p w:rsidR="00D82AF5" w:rsidRPr="00A46CAB" w:rsidRDefault="00A46CAB" w:rsidP="00B66D6D">
            <w:pPr>
              <w:pStyle w:val="ListParagraph"/>
              <w:ind w:left="0"/>
            </w:pPr>
            <w:r>
              <w:t>Меморандумске ставке</w:t>
            </w:r>
          </w:p>
        </w:tc>
        <w:tc>
          <w:tcPr>
            <w:tcW w:w="1473" w:type="dxa"/>
          </w:tcPr>
          <w:p w:rsidR="00D82AF5" w:rsidRPr="00795F5D" w:rsidRDefault="00795F5D" w:rsidP="000E2A0E">
            <w:pPr>
              <w:pStyle w:val="ListParagraph"/>
              <w:ind w:left="0"/>
              <w:jc w:val="right"/>
            </w:pPr>
            <w:r>
              <w:t>1.000.000</w:t>
            </w:r>
          </w:p>
        </w:tc>
        <w:tc>
          <w:tcPr>
            <w:tcW w:w="1473" w:type="dxa"/>
          </w:tcPr>
          <w:p w:rsidR="00D82AF5" w:rsidRPr="000E2A0E" w:rsidRDefault="000E2A0E" w:rsidP="000E2A0E">
            <w:pPr>
              <w:pStyle w:val="ListParagraph"/>
              <w:ind w:left="0"/>
              <w:jc w:val="right"/>
            </w:pPr>
            <w:r>
              <w:t>1.000.000</w:t>
            </w:r>
          </w:p>
        </w:tc>
        <w:tc>
          <w:tcPr>
            <w:tcW w:w="1475" w:type="dxa"/>
          </w:tcPr>
          <w:p w:rsidR="00D82AF5" w:rsidRPr="000E2A0E" w:rsidRDefault="000E2A0E" w:rsidP="000E2A0E">
            <w:pPr>
              <w:pStyle w:val="ListParagraph"/>
              <w:ind w:left="0"/>
              <w:jc w:val="right"/>
            </w:pPr>
            <w:r>
              <w:t>1.000.000</w:t>
            </w:r>
          </w:p>
        </w:tc>
      </w:tr>
      <w:tr w:rsidR="00D82AF5" w:rsidTr="00D82AF5">
        <w:tc>
          <w:tcPr>
            <w:tcW w:w="716" w:type="dxa"/>
          </w:tcPr>
          <w:p w:rsidR="00D82AF5" w:rsidRPr="00D82AF5" w:rsidRDefault="00D82AF5" w:rsidP="00B66D6D">
            <w:pPr>
              <w:pStyle w:val="ListParagraph"/>
              <w:ind w:left="0"/>
            </w:pPr>
            <w:r>
              <w:t>8</w:t>
            </w:r>
          </w:p>
        </w:tc>
        <w:tc>
          <w:tcPr>
            <w:tcW w:w="2966" w:type="dxa"/>
          </w:tcPr>
          <w:p w:rsidR="00D82AF5" w:rsidRPr="00A46CAB" w:rsidRDefault="00A46CAB" w:rsidP="00B66D6D">
            <w:pPr>
              <w:pStyle w:val="ListParagraph"/>
              <w:ind w:left="0"/>
            </w:pPr>
            <w:r>
              <w:t xml:space="preserve">Примања од продаје </w:t>
            </w:r>
            <w:r>
              <w:lastRenderedPageBreak/>
              <w:t>нефинансијске имовине</w:t>
            </w:r>
          </w:p>
        </w:tc>
        <w:tc>
          <w:tcPr>
            <w:tcW w:w="1473" w:type="dxa"/>
          </w:tcPr>
          <w:p w:rsidR="00D82AF5" w:rsidRPr="00795F5D" w:rsidRDefault="00795F5D" w:rsidP="000E2A0E">
            <w:pPr>
              <w:pStyle w:val="ListParagraph"/>
              <w:ind w:left="0"/>
              <w:jc w:val="right"/>
            </w:pPr>
            <w:r>
              <w:lastRenderedPageBreak/>
              <w:t>2.000.000</w:t>
            </w:r>
          </w:p>
        </w:tc>
        <w:tc>
          <w:tcPr>
            <w:tcW w:w="1473" w:type="dxa"/>
          </w:tcPr>
          <w:p w:rsidR="00D82AF5" w:rsidRPr="000E2A0E" w:rsidRDefault="000E2A0E" w:rsidP="000E2A0E">
            <w:pPr>
              <w:pStyle w:val="ListParagraph"/>
              <w:ind w:left="0"/>
              <w:jc w:val="right"/>
            </w:pPr>
            <w:r>
              <w:t>1.000.000</w:t>
            </w:r>
          </w:p>
        </w:tc>
        <w:tc>
          <w:tcPr>
            <w:tcW w:w="1475" w:type="dxa"/>
          </w:tcPr>
          <w:p w:rsidR="00D82AF5" w:rsidRPr="000E2A0E" w:rsidRDefault="000E2A0E" w:rsidP="000E2A0E">
            <w:pPr>
              <w:pStyle w:val="ListParagraph"/>
              <w:ind w:left="0"/>
              <w:jc w:val="right"/>
            </w:pPr>
            <w:r>
              <w:t>1.000.000</w:t>
            </w:r>
          </w:p>
        </w:tc>
      </w:tr>
      <w:tr w:rsidR="00D82AF5" w:rsidTr="00D82AF5">
        <w:tc>
          <w:tcPr>
            <w:tcW w:w="716" w:type="dxa"/>
          </w:tcPr>
          <w:p w:rsidR="00D82AF5" w:rsidRPr="00D82AF5" w:rsidRDefault="00D82AF5" w:rsidP="00B66D6D">
            <w:pPr>
              <w:pStyle w:val="ListParagraph"/>
              <w:ind w:left="0"/>
            </w:pPr>
            <w:r>
              <w:lastRenderedPageBreak/>
              <w:t>9</w:t>
            </w:r>
          </w:p>
        </w:tc>
        <w:tc>
          <w:tcPr>
            <w:tcW w:w="2966" w:type="dxa"/>
          </w:tcPr>
          <w:p w:rsidR="00D82AF5" w:rsidRPr="00A46CAB" w:rsidRDefault="00A46CAB" w:rsidP="00B66D6D">
            <w:pPr>
              <w:pStyle w:val="ListParagraph"/>
              <w:ind w:left="0"/>
            </w:pPr>
            <w:r>
              <w:t>Примања од задуживање</w:t>
            </w:r>
          </w:p>
        </w:tc>
        <w:tc>
          <w:tcPr>
            <w:tcW w:w="1473" w:type="dxa"/>
          </w:tcPr>
          <w:p w:rsidR="00D82AF5" w:rsidRPr="00795F5D" w:rsidRDefault="00795F5D" w:rsidP="000E2A0E">
            <w:pPr>
              <w:pStyle w:val="ListParagraph"/>
              <w:ind w:left="0"/>
              <w:jc w:val="right"/>
            </w:pPr>
            <w:r>
              <w:t>30.000.000</w:t>
            </w:r>
          </w:p>
        </w:tc>
        <w:tc>
          <w:tcPr>
            <w:tcW w:w="1473" w:type="dxa"/>
          </w:tcPr>
          <w:p w:rsidR="00D82AF5" w:rsidRPr="000E2A0E" w:rsidRDefault="000E2A0E" w:rsidP="000E2A0E">
            <w:pPr>
              <w:pStyle w:val="ListParagraph"/>
              <w:ind w:left="0"/>
              <w:jc w:val="right"/>
            </w:pPr>
            <w:r>
              <w:t>20.000.000</w:t>
            </w:r>
          </w:p>
        </w:tc>
        <w:tc>
          <w:tcPr>
            <w:tcW w:w="1475" w:type="dxa"/>
          </w:tcPr>
          <w:p w:rsidR="00D82AF5" w:rsidRPr="000E2A0E" w:rsidRDefault="000E2A0E" w:rsidP="000E2A0E">
            <w:pPr>
              <w:pStyle w:val="ListParagraph"/>
              <w:ind w:left="0"/>
              <w:jc w:val="right"/>
            </w:pPr>
            <w:r>
              <w:t>20.000.000</w:t>
            </w:r>
          </w:p>
        </w:tc>
      </w:tr>
      <w:tr w:rsidR="00E613D3" w:rsidTr="00D82AF5">
        <w:tc>
          <w:tcPr>
            <w:tcW w:w="716" w:type="dxa"/>
          </w:tcPr>
          <w:p w:rsidR="00E613D3" w:rsidRDefault="00E613D3" w:rsidP="00B66D6D">
            <w:pPr>
              <w:pStyle w:val="ListParagraph"/>
              <w:ind w:left="0"/>
            </w:pPr>
          </w:p>
        </w:tc>
        <w:tc>
          <w:tcPr>
            <w:tcW w:w="2966" w:type="dxa"/>
          </w:tcPr>
          <w:p w:rsidR="00E613D3" w:rsidRPr="00E613D3" w:rsidRDefault="00E613D3" w:rsidP="00B66D6D">
            <w:pPr>
              <w:pStyle w:val="ListParagraph"/>
              <w:ind w:left="0"/>
            </w:pPr>
            <w:r>
              <w:t>Укупни приходи и примања:</w:t>
            </w:r>
          </w:p>
        </w:tc>
        <w:tc>
          <w:tcPr>
            <w:tcW w:w="1473" w:type="dxa"/>
          </w:tcPr>
          <w:p w:rsidR="00E613D3" w:rsidRPr="000E2A0E" w:rsidRDefault="000E2A0E" w:rsidP="003D14A5">
            <w:pPr>
              <w:pStyle w:val="ListParagraph"/>
              <w:ind w:left="0"/>
              <w:jc w:val="right"/>
            </w:pPr>
            <w:r>
              <w:t>33</w:t>
            </w:r>
            <w:r w:rsidR="003D14A5">
              <w:t>2</w:t>
            </w:r>
            <w:r>
              <w:t>.000.000</w:t>
            </w:r>
          </w:p>
        </w:tc>
        <w:tc>
          <w:tcPr>
            <w:tcW w:w="1473" w:type="dxa"/>
          </w:tcPr>
          <w:p w:rsidR="00E613D3" w:rsidRPr="000E2A0E" w:rsidRDefault="000E2A0E" w:rsidP="000E2A0E">
            <w:pPr>
              <w:pStyle w:val="ListParagraph"/>
              <w:ind w:left="0"/>
              <w:jc w:val="right"/>
            </w:pPr>
            <w:r>
              <w:t>300.000.000</w:t>
            </w:r>
          </w:p>
        </w:tc>
        <w:tc>
          <w:tcPr>
            <w:tcW w:w="1475" w:type="dxa"/>
          </w:tcPr>
          <w:p w:rsidR="00E613D3" w:rsidRPr="000E2A0E" w:rsidRDefault="000E2A0E" w:rsidP="000E2A0E">
            <w:pPr>
              <w:pStyle w:val="ListParagraph"/>
              <w:ind w:left="0"/>
              <w:jc w:val="right"/>
            </w:pPr>
            <w:r>
              <w:t>300.000.000</w:t>
            </w:r>
          </w:p>
        </w:tc>
      </w:tr>
    </w:tbl>
    <w:p w:rsidR="00B66D6D" w:rsidRDefault="00B66D6D" w:rsidP="00B66D6D">
      <w:pPr>
        <w:pStyle w:val="ListParagraph"/>
        <w:ind w:left="0" w:firstLine="720"/>
      </w:pPr>
    </w:p>
    <w:p w:rsidR="00B66D6D" w:rsidRDefault="00B66D6D" w:rsidP="00B66D6D">
      <w:pPr>
        <w:pStyle w:val="ListParagraph"/>
        <w:ind w:left="0" w:firstLine="720"/>
      </w:pPr>
    </w:p>
    <w:p w:rsidR="00B66D6D" w:rsidRDefault="00B66D6D" w:rsidP="00B66D6D">
      <w:pPr>
        <w:pStyle w:val="ListParagraph"/>
        <w:ind w:left="0" w:firstLine="720"/>
      </w:pPr>
    </w:p>
    <w:p w:rsidR="00B66D6D" w:rsidRDefault="0070156E" w:rsidP="00B66D6D">
      <w:pPr>
        <w:pStyle w:val="ListParagraph"/>
        <w:ind w:left="0" w:firstLine="720"/>
      </w:pPr>
      <w:r>
        <w:t xml:space="preserve">Пројекција расхода и издатака буџета општине </w:t>
      </w:r>
      <w:r w:rsidR="00817D20">
        <w:t xml:space="preserve">Ћићевац </w:t>
      </w:r>
      <w:r>
        <w:t xml:space="preserve"> за период 201</w:t>
      </w:r>
      <w:r w:rsidR="00CF4C0F">
        <w:t>9</w:t>
      </w:r>
      <w:r>
        <w:t>-20</w:t>
      </w:r>
      <w:r w:rsidR="00817D20">
        <w:t>2</w:t>
      </w:r>
      <w:r w:rsidR="00CF4C0F">
        <w:t>1</w:t>
      </w:r>
      <w:r>
        <w:t xml:space="preserve">. године, извршена је на следећи начин у динарима: </w:t>
      </w:r>
    </w:p>
    <w:p w:rsidR="00E613D3" w:rsidRPr="00E613D3" w:rsidRDefault="00E613D3" w:rsidP="00B66D6D">
      <w:pPr>
        <w:pStyle w:val="ListParagraph"/>
        <w:ind w:left="0" w:firstLine="720"/>
      </w:pPr>
    </w:p>
    <w:p w:rsidR="00B66D6D" w:rsidRDefault="0070156E" w:rsidP="00B66D6D">
      <w:pPr>
        <w:pStyle w:val="ListParagraph"/>
        <w:ind w:left="0" w:firstLine="720"/>
      </w:pPr>
      <w:r>
        <w:t>Табела: Пројекција расхода и издатака за 201</w:t>
      </w:r>
      <w:r w:rsidR="00CF4C0F">
        <w:t>9</w:t>
      </w:r>
      <w:r>
        <w:t>-202</w:t>
      </w:r>
      <w:r w:rsidR="00CF4C0F">
        <w:t>1</w:t>
      </w:r>
      <w:r>
        <w:t>.</w:t>
      </w:r>
    </w:p>
    <w:p w:rsidR="00B66D6D" w:rsidRPr="00817D20" w:rsidRDefault="00B66D6D" w:rsidP="00B66D6D">
      <w:pPr>
        <w:pStyle w:val="ListParagraph"/>
        <w:ind w:left="0" w:firstLine="720"/>
      </w:pPr>
    </w:p>
    <w:tbl>
      <w:tblPr>
        <w:tblStyle w:val="TableGrid"/>
        <w:tblW w:w="0" w:type="auto"/>
        <w:tblLook w:val="04A0"/>
      </w:tblPr>
      <w:tblGrid>
        <w:gridCol w:w="772"/>
        <w:gridCol w:w="2976"/>
        <w:gridCol w:w="1481"/>
        <w:gridCol w:w="1481"/>
        <w:gridCol w:w="1483"/>
      </w:tblGrid>
      <w:tr w:rsidR="00D82AF5" w:rsidTr="00C438D9">
        <w:trPr>
          <w:trHeight w:val="260"/>
        </w:trPr>
        <w:tc>
          <w:tcPr>
            <w:tcW w:w="772" w:type="dxa"/>
            <w:vMerge w:val="restart"/>
          </w:tcPr>
          <w:p w:rsidR="00E613D3" w:rsidRDefault="00E613D3" w:rsidP="002867A4">
            <w:pPr>
              <w:pStyle w:val="ListParagraph"/>
              <w:ind w:left="0"/>
            </w:pPr>
            <w:r>
              <w:t>Ек.</w:t>
            </w:r>
          </w:p>
          <w:p w:rsidR="00E613D3" w:rsidRPr="00E613D3" w:rsidRDefault="00E613D3" w:rsidP="002867A4">
            <w:pPr>
              <w:pStyle w:val="ListParagraph"/>
              <w:ind w:left="0"/>
            </w:pPr>
            <w:r>
              <w:t>клас.</w:t>
            </w:r>
          </w:p>
        </w:tc>
        <w:tc>
          <w:tcPr>
            <w:tcW w:w="2976" w:type="dxa"/>
            <w:vMerge w:val="restart"/>
          </w:tcPr>
          <w:p w:rsidR="00D82AF5" w:rsidRPr="00E613D3" w:rsidRDefault="00E613D3" w:rsidP="00E613D3">
            <w:pPr>
              <w:pStyle w:val="ListParagraph"/>
              <w:ind w:left="0"/>
              <w:jc w:val="center"/>
            </w:pPr>
            <w:r>
              <w:t>Опис</w:t>
            </w:r>
          </w:p>
        </w:tc>
        <w:tc>
          <w:tcPr>
            <w:tcW w:w="4445" w:type="dxa"/>
            <w:gridSpan w:val="3"/>
            <w:tcBorders>
              <w:bottom w:val="single" w:sz="4" w:space="0" w:color="auto"/>
            </w:tcBorders>
          </w:tcPr>
          <w:p w:rsidR="00D82AF5" w:rsidRPr="00E613D3" w:rsidRDefault="00E613D3" w:rsidP="00E613D3">
            <w:pPr>
              <w:pStyle w:val="ListParagraph"/>
              <w:ind w:left="0"/>
              <w:jc w:val="center"/>
            </w:pPr>
            <w:r>
              <w:t>Пројекција за</w:t>
            </w:r>
          </w:p>
        </w:tc>
      </w:tr>
      <w:tr w:rsidR="00D82AF5" w:rsidTr="00C438D9">
        <w:trPr>
          <w:trHeight w:val="272"/>
        </w:trPr>
        <w:tc>
          <w:tcPr>
            <w:tcW w:w="772" w:type="dxa"/>
            <w:vMerge/>
          </w:tcPr>
          <w:p w:rsidR="00D82AF5" w:rsidRDefault="00D82AF5" w:rsidP="002867A4">
            <w:pPr>
              <w:pStyle w:val="ListParagraph"/>
              <w:ind w:left="0"/>
            </w:pPr>
          </w:p>
        </w:tc>
        <w:tc>
          <w:tcPr>
            <w:tcW w:w="2976" w:type="dxa"/>
            <w:vMerge/>
          </w:tcPr>
          <w:p w:rsidR="00D82AF5" w:rsidRDefault="00D82AF5" w:rsidP="002867A4">
            <w:pPr>
              <w:pStyle w:val="ListParagraph"/>
              <w:ind w:left="0"/>
            </w:pPr>
          </w:p>
        </w:tc>
        <w:tc>
          <w:tcPr>
            <w:tcW w:w="1481" w:type="dxa"/>
            <w:tcBorders>
              <w:top w:val="single" w:sz="4" w:space="0" w:color="auto"/>
              <w:right w:val="single" w:sz="4" w:space="0" w:color="auto"/>
            </w:tcBorders>
          </w:tcPr>
          <w:p w:rsidR="00D82AF5" w:rsidRPr="00CF4C0F" w:rsidRDefault="00E613D3" w:rsidP="00CF4C0F">
            <w:pPr>
              <w:pStyle w:val="ListParagraph"/>
              <w:ind w:left="0"/>
              <w:jc w:val="center"/>
            </w:pPr>
            <w:r>
              <w:t>201</w:t>
            </w:r>
            <w:r w:rsidR="00CF4C0F">
              <w:t>9</w:t>
            </w:r>
          </w:p>
        </w:tc>
        <w:tc>
          <w:tcPr>
            <w:tcW w:w="2964" w:type="dxa"/>
            <w:gridSpan w:val="2"/>
            <w:tcBorders>
              <w:top w:val="single" w:sz="4" w:space="0" w:color="auto"/>
              <w:left w:val="single" w:sz="4" w:space="0" w:color="auto"/>
            </w:tcBorders>
          </w:tcPr>
          <w:p w:rsidR="00D82AF5" w:rsidRPr="00CF4C0F" w:rsidRDefault="00CF4C0F" w:rsidP="00CF4C0F">
            <w:pPr>
              <w:pStyle w:val="ListParagraph"/>
              <w:ind w:left="0"/>
              <w:jc w:val="center"/>
            </w:pPr>
            <w:r>
              <w:t>2020</w:t>
            </w:r>
            <w:r w:rsidR="00E613D3">
              <w:t xml:space="preserve">                          202</w:t>
            </w:r>
            <w:r>
              <w:t>1</w:t>
            </w:r>
          </w:p>
        </w:tc>
      </w:tr>
      <w:tr w:rsidR="00D82AF5" w:rsidTr="00C438D9">
        <w:tc>
          <w:tcPr>
            <w:tcW w:w="772" w:type="dxa"/>
          </w:tcPr>
          <w:p w:rsidR="00D82AF5" w:rsidRPr="00E613D3" w:rsidRDefault="00E613D3" w:rsidP="002867A4">
            <w:pPr>
              <w:pStyle w:val="ListParagraph"/>
              <w:ind w:left="0"/>
            </w:pPr>
            <w:r>
              <w:t>41</w:t>
            </w:r>
          </w:p>
        </w:tc>
        <w:tc>
          <w:tcPr>
            <w:tcW w:w="2976" w:type="dxa"/>
          </w:tcPr>
          <w:p w:rsidR="00D82AF5" w:rsidRPr="00E613D3" w:rsidRDefault="00E613D3" w:rsidP="002867A4">
            <w:pPr>
              <w:pStyle w:val="ListParagraph"/>
              <w:ind w:left="0"/>
            </w:pPr>
            <w:r>
              <w:t>Расходи за запослене</w:t>
            </w:r>
          </w:p>
        </w:tc>
        <w:tc>
          <w:tcPr>
            <w:tcW w:w="1481" w:type="dxa"/>
            <w:tcBorders>
              <w:right w:val="single" w:sz="4" w:space="0" w:color="auto"/>
            </w:tcBorders>
          </w:tcPr>
          <w:p w:rsidR="00D82AF5" w:rsidRPr="005A7077" w:rsidRDefault="00660252" w:rsidP="005104F3">
            <w:pPr>
              <w:pStyle w:val="ListParagraph"/>
              <w:ind w:left="0"/>
              <w:jc w:val="right"/>
            </w:pPr>
            <w:r>
              <w:t>110.000.000</w:t>
            </w:r>
          </w:p>
        </w:tc>
        <w:tc>
          <w:tcPr>
            <w:tcW w:w="1481" w:type="dxa"/>
            <w:tcBorders>
              <w:left w:val="single" w:sz="4" w:space="0" w:color="auto"/>
            </w:tcBorders>
          </w:tcPr>
          <w:p w:rsidR="00D82AF5" w:rsidRDefault="005104F3" w:rsidP="005104F3">
            <w:pPr>
              <w:pStyle w:val="ListParagraph"/>
              <w:ind w:left="0"/>
              <w:jc w:val="right"/>
            </w:pPr>
            <w:r>
              <w:t>100.000.000</w:t>
            </w:r>
          </w:p>
        </w:tc>
        <w:tc>
          <w:tcPr>
            <w:tcW w:w="1483" w:type="dxa"/>
          </w:tcPr>
          <w:p w:rsidR="00D82AF5" w:rsidRDefault="005104F3" w:rsidP="005104F3">
            <w:pPr>
              <w:pStyle w:val="ListParagraph"/>
              <w:ind w:left="0"/>
              <w:jc w:val="right"/>
            </w:pPr>
            <w:r>
              <w:t>100.000.000</w:t>
            </w:r>
          </w:p>
        </w:tc>
      </w:tr>
      <w:tr w:rsidR="00D82AF5" w:rsidTr="00C438D9">
        <w:tc>
          <w:tcPr>
            <w:tcW w:w="772" w:type="dxa"/>
          </w:tcPr>
          <w:p w:rsidR="00D82AF5" w:rsidRPr="00E613D3" w:rsidRDefault="00E613D3" w:rsidP="002867A4">
            <w:pPr>
              <w:pStyle w:val="ListParagraph"/>
              <w:ind w:left="0"/>
            </w:pPr>
            <w:r>
              <w:t>42</w:t>
            </w:r>
          </w:p>
        </w:tc>
        <w:tc>
          <w:tcPr>
            <w:tcW w:w="2976" w:type="dxa"/>
          </w:tcPr>
          <w:p w:rsidR="00D82AF5" w:rsidRPr="00E613D3" w:rsidRDefault="00E613D3" w:rsidP="002867A4">
            <w:pPr>
              <w:pStyle w:val="ListParagraph"/>
              <w:ind w:left="0"/>
            </w:pPr>
            <w:r>
              <w:t>Коришћење услуга и роба</w:t>
            </w:r>
          </w:p>
        </w:tc>
        <w:tc>
          <w:tcPr>
            <w:tcW w:w="1481" w:type="dxa"/>
            <w:tcBorders>
              <w:right w:val="single" w:sz="4" w:space="0" w:color="auto"/>
            </w:tcBorders>
          </w:tcPr>
          <w:p w:rsidR="00D82AF5" w:rsidRPr="005A7077" w:rsidRDefault="00C438D9" w:rsidP="005104F3">
            <w:pPr>
              <w:pStyle w:val="ListParagraph"/>
              <w:ind w:left="0"/>
              <w:jc w:val="right"/>
            </w:pPr>
            <w:r>
              <w:t>7</w:t>
            </w:r>
            <w:r w:rsidR="00660252">
              <w:t>0</w:t>
            </w:r>
            <w:r w:rsidR="005A7077">
              <w:t>.000.000</w:t>
            </w:r>
          </w:p>
        </w:tc>
        <w:tc>
          <w:tcPr>
            <w:tcW w:w="1481" w:type="dxa"/>
            <w:tcBorders>
              <w:left w:val="single" w:sz="4" w:space="0" w:color="auto"/>
            </w:tcBorders>
          </w:tcPr>
          <w:p w:rsidR="00D82AF5" w:rsidRDefault="005104F3" w:rsidP="005104F3">
            <w:pPr>
              <w:pStyle w:val="ListParagraph"/>
              <w:ind w:left="0"/>
              <w:jc w:val="right"/>
            </w:pPr>
            <w:r>
              <w:t>60.000.000</w:t>
            </w:r>
          </w:p>
        </w:tc>
        <w:tc>
          <w:tcPr>
            <w:tcW w:w="1483" w:type="dxa"/>
          </w:tcPr>
          <w:p w:rsidR="00D82AF5" w:rsidRDefault="005104F3" w:rsidP="005104F3">
            <w:pPr>
              <w:pStyle w:val="ListParagraph"/>
              <w:ind w:left="0"/>
              <w:jc w:val="right"/>
            </w:pPr>
            <w:r>
              <w:t>60.000.000</w:t>
            </w:r>
          </w:p>
        </w:tc>
      </w:tr>
      <w:tr w:rsidR="00D82AF5" w:rsidTr="00C438D9">
        <w:tc>
          <w:tcPr>
            <w:tcW w:w="772" w:type="dxa"/>
          </w:tcPr>
          <w:p w:rsidR="00D82AF5" w:rsidRPr="00E613D3" w:rsidRDefault="00E613D3" w:rsidP="00E613D3">
            <w:pPr>
              <w:pStyle w:val="ListParagraph"/>
              <w:ind w:left="0"/>
            </w:pPr>
            <w:r>
              <w:t>44</w:t>
            </w:r>
          </w:p>
        </w:tc>
        <w:tc>
          <w:tcPr>
            <w:tcW w:w="2976" w:type="dxa"/>
          </w:tcPr>
          <w:p w:rsidR="00D82AF5" w:rsidRPr="00E613D3" w:rsidRDefault="00E613D3" w:rsidP="002867A4">
            <w:pPr>
              <w:pStyle w:val="ListParagraph"/>
              <w:ind w:left="0"/>
            </w:pPr>
            <w:r>
              <w:t>Отплата камата</w:t>
            </w:r>
          </w:p>
        </w:tc>
        <w:tc>
          <w:tcPr>
            <w:tcW w:w="1481" w:type="dxa"/>
          </w:tcPr>
          <w:p w:rsidR="00D82AF5" w:rsidRPr="005A7077" w:rsidRDefault="00660252" w:rsidP="005104F3">
            <w:pPr>
              <w:pStyle w:val="ListParagraph"/>
              <w:ind w:left="0"/>
              <w:jc w:val="right"/>
            </w:pPr>
            <w:r>
              <w:t>6</w:t>
            </w:r>
            <w:r w:rsidR="005A7077">
              <w:t>.000.000</w:t>
            </w:r>
          </w:p>
        </w:tc>
        <w:tc>
          <w:tcPr>
            <w:tcW w:w="1481" w:type="dxa"/>
          </w:tcPr>
          <w:p w:rsidR="00D82AF5" w:rsidRDefault="005104F3" w:rsidP="005104F3">
            <w:pPr>
              <w:pStyle w:val="ListParagraph"/>
              <w:ind w:left="0"/>
              <w:jc w:val="right"/>
            </w:pPr>
            <w:r>
              <w:t>5.000.000</w:t>
            </w:r>
          </w:p>
        </w:tc>
        <w:tc>
          <w:tcPr>
            <w:tcW w:w="1483" w:type="dxa"/>
          </w:tcPr>
          <w:p w:rsidR="00D82AF5" w:rsidRDefault="005104F3" w:rsidP="005104F3">
            <w:pPr>
              <w:pStyle w:val="ListParagraph"/>
              <w:ind w:left="0"/>
              <w:jc w:val="right"/>
            </w:pPr>
            <w:r>
              <w:t>5.000.000</w:t>
            </w:r>
          </w:p>
        </w:tc>
      </w:tr>
      <w:tr w:rsidR="00D82AF5" w:rsidTr="00C438D9">
        <w:tc>
          <w:tcPr>
            <w:tcW w:w="772" w:type="dxa"/>
          </w:tcPr>
          <w:p w:rsidR="00D82AF5" w:rsidRPr="00E613D3" w:rsidRDefault="00E613D3" w:rsidP="002867A4">
            <w:pPr>
              <w:pStyle w:val="ListParagraph"/>
              <w:ind w:left="0"/>
            </w:pPr>
            <w:r>
              <w:t>45</w:t>
            </w:r>
          </w:p>
        </w:tc>
        <w:tc>
          <w:tcPr>
            <w:tcW w:w="2976" w:type="dxa"/>
          </w:tcPr>
          <w:p w:rsidR="00D82AF5" w:rsidRPr="00E613D3" w:rsidRDefault="00E613D3" w:rsidP="002867A4">
            <w:pPr>
              <w:pStyle w:val="ListParagraph"/>
              <w:ind w:left="0"/>
            </w:pPr>
            <w:r>
              <w:t>Субвенције</w:t>
            </w:r>
          </w:p>
        </w:tc>
        <w:tc>
          <w:tcPr>
            <w:tcW w:w="1481" w:type="dxa"/>
          </w:tcPr>
          <w:p w:rsidR="00D82AF5" w:rsidRPr="005A7077" w:rsidRDefault="00660252" w:rsidP="005104F3">
            <w:pPr>
              <w:pStyle w:val="ListParagraph"/>
              <w:ind w:left="0"/>
              <w:jc w:val="right"/>
            </w:pPr>
            <w:r>
              <w:t>6</w:t>
            </w:r>
            <w:r w:rsidR="005A7077">
              <w:t>.000.000</w:t>
            </w:r>
          </w:p>
        </w:tc>
        <w:tc>
          <w:tcPr>
            <w:tcW w:w="1481" w:type="dxa"/>
          </w:tcPr>
          <w:p w:rsidR="00D82AF5" w:rsidRDefault="005104F3" w:rsidP="005104F3">
            <w:pPr>
              <w:pStyle w:val="ListParagraph"/>
              <w:ind w:left="0"/>
              <w:jc w:val="right"/>
            </w:pPr>
            <w:r>
              <w:t>5.000.000</w:t>
            </w:r>
          </w:p>
        </w:tc>
        <w:tc>
          <w:tcPr>
            <w:tcW w:w="1483" w:type="dxa"/>
          </w:tcPr>
          <w:p w:rsidR="00D82AF5" w:rsidRDefault="005104F3" w:rsidP="005104F3">
            <w:pPr>
              <w:pStyle w:val="ListParagraph"/>
              <w:ind w:left="0"/>
              <w:jc w:val="right"/>
            </w:pPr>
            <w:r>
              <w:t>5.000.000</w:t>
            </w:r>
          </w:p>
        </w:tc>
      </w:tr>
      <w:tr w:rsidR="00D82AF5" w:rsidTr="00C438D9">
        <w:tc>
          <w:tcPr>
            <w:tcW w:w="772" w:type="dxa"/>
          </w:tcPr>
          <w:p w:rsidR="00D82AF5" w:rsidRPr="006575FE" w:rsidRDefault="006575FE" w:rsidP="002867A4">
            <w:pPr>
              <w:pStyle w:val="ListParagraph"/>
              <w:ind w:left="0"/>
            </w:pPr>
            <w:r>
              <w:t>46</w:t>
            </w:r>
          </w:p>
        </w:tc>
        <w:tc>
          <w:tcPr>
            <w:tcW w:w="2976" w:type="dxa"/>
          </w:tcPr>
          <w:p w:rsidR="00D82AF5" w:rsidRPr="006575FE" w:rsidRDefault="006575FE" w:rsidP="002867A4">
            <w:pPr>
              <w:pStyle w:val="ListParagraph"/>
              <w:ind w:left="0"/>
            </w:pPr>
            <w:r>
              <w:t>Трансфери</w:t>
            </w:r>
          </w:p>
        </w:tc>
        <w:tc>
          <w:tcPr>
            <w:tcW w:w="1481" w:type="dxa"/>
          </w:tcPr>
          <w:p w:rsidR="00D82AF5" w:rsidRPr="005A7077" w:rsidRDefault="00660252" w:rsidP="005104F3">
            <w:pPr>
              <w:pStyle w:val="ListParagraph"/>
              <w:ind w:left="0"/>
              <w:jc w:val="right"/>
            </w:pPr>
            <w:r>
              <w:t>35</w:t>
            </w:r>
            <w:r w:rsidR="005A7077">
              <w:t>.000.000</w:t>
            </w:r>
          </w:p>
        </w:tc>
        <w:tc>
          <w:tcPr>
            <w:tcW w:w="1481" w:type="dxa"/>
          </w:tcPr>
          <w:p w:rsidR="00D82AF5" w:rsidRDefault="005104F3" w:rsidP="005104F3">
            <w:pPr>
              <w:pStyle w:val="ListParagraph"/>
              <w:ind w:left="0"/>
              <w:jc w:val="right"/>
            </w:pPr>
            <w:r>
              <w:t>32.000.000</w:t>
            </w:r>
          </w:p>
        </w:tc>
        <w:tc>
          <w:tcPr>
            <w:tcW w:w="1483" w:type="dxa"/>
          </w:tcPr>
          <w:p w:rsidR="00D82AF5" w:rsidRDefault="005104F3" w:rsidP="005104F3">
            <w:pPr>
              <w:pStyle w:val="ListParagraph"/>
              <w:ind w:left="0"/>
              <w:jc w:val="right"/>
            </w:pPr>
            <w:r>
              <w:t>32.000.000</w:t>
            </w:r>
          </w:p>
        </w:tc>
      </w:tr>
      <w:tr w:rsidR="006575FE" w:rsidTr="00C438D9">
        <w:tc>
          <w:tcPr>
            <w:tcW w:w="772" w:type="dxa"/>
          </w:tcPr>
          <w:p w:rsidR="006575FE" w:rsidRDefault="006575FE" w:rsidP="002867A4">
            <w:pPr>
              <w:pStyle w:val="ListParagraph"/>
              <w:ind w:left="0"/>
            </w:pPr>
            <w:r>
              <w:t>47</w:t>
            </w:r>
          </w:p>
        </w:tc>
        <w:tc>
          <w:tcPr>
            <w:tcW w:w="2976" w:type="dxa"/>
          </w:tcPr>
          <w:p w:rsidR="006575FE" w:rsidRPr="006575FE" w:rsidRDefault="006575FE" w:rsidP="002867A4">
            <w:pPr>
              <w:pStyle w:val="ListParagraph"/>
              <w:ind w:left="0"/>
            </w:pPr>
            <w:r>
              <w:t>Социј. заштита из буџета</w:t>
            </w:r>
          </w:p>
        </w:tc>
        <w:tc>
          <w:tcPr>
            <w:tcW w:w="1481" w:type="dxa"/>
          </w:tcPr>
          <w:p w:rsidR="006575FE" w:rsidRPr="005A7077" w:rsidRDefault="00660252" w:rsidP="005104F3">
            <w:pPr>
              <w:pStyle w:val="ListParagraph"/>
              <w:ind w:left="0"/>
              <w:jc w:val="right"/>
            </w:pPr>
            <w:r>
              <w:t>25</w:t>
            </w:r>
            <w:r w:rsidR="005A7077">
              <w:t>.000.000</w:t>
            </w:r>
          </w:p>
        </w:tc>
        <w:tc>
          <w:tcPr>
            <w:tcW w:w="1481" w:type="dxa"/>
          </w:tcPr>
          <w:p w:rsidR="006575FE" w:rsidRDefault="005104F3" w:rsidP="005104F3">
            <w:pPr>
              <w:pStyle w:val="ListParagraph"/>
              <w:ind w:left="0"/>
              <w:jc w:val="right"/>
            </w:pPr>
            <w:r>
              <w:t>25.000.000</w:t>
            </w:r>
          </w:p>
        </w:tc>
        <w:tc>
          <w:tcPr>
            <w:tcW w:w="1483" w:type="dxa"/>
          </w:tcPr>
          <w:p w:rsidR="006575FE" w:rsidRDefault="005104F3" w:rsidP="005104F3">
            <w:pPr>
              <w:pStyle w:val="ListParagraph"/>
              <w:ind w:left="0"/>
              <w:jc w:val="right"/>
            </w:pPr>
            <w:r>
              <w:t>25.000.000</w:t>
            </w:r>
          </w:p>
        </w:tc>
      </w:tr>
      <w:tr w:rsidR="006575FE" w:rsidTr="00C438D9">
        <w:tc>
          <w:tcPr>
            <w:tcW w:w="772" w:type="dxa"/>
          </w:tcPr>
          <w:p w:rsidR="006575FE" w:rsidRDefault="006575FE" w:rsidP="00660252">
            <w:pPr>
              <w:pStyle w:val="ListParagraph"/>
              <w:ind w:left="0"/>
            </w:pPr>
            <w:r>
              <w:t>48</w:t>
            </w:r>
          </w:p>
        </w:tc>
        <w:tc>
          <w:tcPr>
            <w:tcW w:w="2976" w:type="dxa"/>
          </w:tcPr>
          <w:p w:rsidR="006575FE" w:rsidRPr="005A7077" w:rsidRDefault="005A7077" w:rsidP="002867A4">
            <w:pPr>
              <w:pStyle w:val="ListParagraph"/>
              <w:ind w:left="0"/>
            </w:pPr>
            <w:r>
              <w:t>Остали расходи</w:t>
            </w:r>
          </w:p>
        </w:tc>
        <w:tc>
          <w:tcPr>
            <w:tcW w:w="1481" w:type="dxa"/>
          </w:tcPr>
          <w:p w:rsidR="006575FE" w:rsidRPr="005A7077" w:rsidRDefault="00660252" w:rsidP="005104F3">
            <w:pPr>
              <w:pStyle w:val="ListParagraph"/>
              <w:ind w:left="0"/>
              <w:jc w:val="right"/>
            </w:pPr>
            <w:r>
              <w:t>10.000.000</w:t>
            </w:r>
          </w:p>
        </w:tc>
        <w:tc>
          <w:tcPr>
            <w:tcW w:w="1481" w:type="dxa"/>
          </w:tcPr>
          <w:p w:rsidR="006575FE" w:rsidRDefault="005104F3" w:rsidP="005104F3">
            <w:pPr>
              <w:pStyle w:val="ListParagraph"/>
              <w:ind w:left="0"/>
              <w:jc w:val="right"/>
            </w:pPr>
            <w:r>
              <w:t>8.000.000</w:t>
            </w:r>
          </w:p>
        </w:tc>
        <w:tc>
          <w:tcPr>
            <w:tcW w:w="1483" w:type="dxa"/>
          </w:tcPr>
          <w:p w:rsidR="006575FE" w:rsidRDefault="005104F3" w:rsidP="005104F3">
            <w:pPr>
              <w:pStyle w:val="ListParagraph"/>
              <w:ind w:left="0"/>
              <w:jc w:val="right"/>
            </w:pPr>
            <w:r>
              <w:t>8.000.000</w:t>
            </w:r>
          </w:p>
        </w:tc>
      </w:tr>
      <w:tr w:rsidR="00D82AF5" w:rsidTr="00C438D9">
        <w:tc>
          <w:tcPr>
            <w:tcW w:w="772" w:type="dxa"/>
          </w:tcPr>
          <w:p w:rsidR="00D82AF5" w:rsidRPr="00E613D3" w:rsidRDefault="00E613D3" w:rsidP="002867A4">
            <w:pPr>
              <w:pStyle w:val="ListParagraph"/>
              <w:ind w:left="0"/>
            </w:pPr>
            <w:r>
              <w:t>5</w:t>
            </w:r>
          </w:p>
        </w:tc>
        <w:tc>
          <w:tcPr>
            <w:tcW w:w="2976" w:type="dxa"/>
          </w:tcPr>
          <w:p w:rsidR="00D82AF5" w:rsidRPr="005A7077" w:rsidRDefault="005A7077" w:rsidP="002867A4">
            <w:pPr>
              <w:pStyle w:val="ListParagraph"/>
              <w:ind w:left="0"/>
            </w:pPr>
            <w:r>
              <w:t>Издаци за неф. имовину</w:t>
            </w:r>
          </w:p>
        </w:tc>
        <w:tc>
          <w:tcPr>
            <w:tcW w:w="1481" w:type="dxa"/>
          </w:tcPr>
          <w:p w:rsidR="00D82AF5" w:rsidRPr="005A7077" w:rsidRDefault="00C438D9" w:rsidP="005104F3">
            <w:pPr>
              <w:pStyle w:val="ListParagraph"/>
              <w:ind w:left="0"/>
              <w:jc w:val="right"/>
            </w:pPr>
            <w:r>
              <w:t>5</w:t>
            </w:r>
            <w:r w:rsidR="005A7077">
              <w:t>0.000.000</w:t>
            </w:r>
          </w:p>
        </w:tc>
        <w:tc>
          <w:tcPr>
            <w:tcW w:w="1481" w:type="dxa"/>
          </w:tcPr>
          <w:p w:rsidR="00D82AF5" w:rsidRDefault="005104F3" w:rsidP="005104F3">
            <w:pPr>
              <w:pStyle w:val="ListParagraph"/>
              <w:ind w:left="0"/>
              <w:jc w:val="right"/>
            </w:pPr>
            <w:r>
              <w:t>50.000.000</w:t>
            </w:r>
          </w:p>
        </w:tc>
        <w:tc>
          <w:tcPr>
            <w:tcW w:w="1483" w:type="dxa"/>
          </w:tcPr>
          <w:p w:rsidR="00D82AF5" w:rsidRDefault="005104F3" w:rsidP="005104F3">
            <w:pPr>
              <w:pStyle w:val="ListParagraph"/>
              <w:ind w:left="0"/>
              <w:jc w:val="right"/>
            </w:pPr>
            <w:r>
              <w:t>50.000.000</w:t>
            </w:r>
          </w:p>
        </w:tc>
      </w:tr>
      <w:tr w:rsidR="00D82AF5" w:rsidTr="00C438D9">
        <w:tc>
          <w:tcPr>
            <w:tcW w:w="772" w:type="dxa"/>
          </w:tcPr>
          <w:p w:rsidR="00D82AF5" w:rsidRPr="00E613D3" w:rsidRDefault="00E613D3" w:rsidP="002867A4">
            <w:pPr>
              <w:pStyle w:val="ListParagraph"/>
              <w:ind w:left="0"/>
            </w:pPr>
            <w:r>
              <w:t>6</w:t>
            </w:r>
          </w:p>
        </w:tc>
        <w:tc>
          <w:tcPr>
            <w:tcW w:w="2976" w:type="dxa"/>
          </w:tcPr>
          <w:p w:rsidR="00D82AF5" w:rsidRPr="005A7077" w:rsidRDefault="005A7077" w:rsidP="002867A4">
            <w:pPr>
              <w:pStyle w:val="ListParagraph"/>
              <w:ind w:left="0"/>
            </w:pPr>
            <w:r>
              <w:t>Отплата дуга</w:t>
            </w:r>
          </w:p>
        </w:tc>
        <w:tc>
          <w:tcPr>
            <w:tcW w:w="1481" w:type="dxa"/>
          </w:tcPr>
          <w:p w:rsidR="00D82AF5" w:rsidRPr="005A7077" w:rsidRDefault="005A7077" w:rsidP="005104F3">
            <w:pPr>
              <w:pStyle w:val="ListParagraph"/>
              <w:ind w:left="0"/>
              <w:jc w:val="right"/>
            </w:pPr>
            <w:r>
              <w:t>20.000.000</w:t>
            </w:r>
          </w:p>
        </w:tc>
        <w:tc>
          <w:tcPr>
            <w:tcW w:w="1481" w:type="dxa"/>
          </w:tcPr>
          <w:p w:rsidR="00D82AF5" w:rsidRDefault="005104F3" w:rsidP="005104F3">
            <w:pPr>
              <w:pStyle w:val="ListParagraph"/>
              <w:ind w:left="0"/>
              <w:jc w:val="right"/>
            </w:pPr>
            <w:r>
              <w:t>15.000.000</w:t>
            </w:r>
          </w:p>
        </w:tc>
        <w:tc>
          <w:tcPr>
            <w:tcW w:w="1483" w:type="dxa"/>
          </w:tcPr>
          <w:p w:rsidR="00D82AF5" w:rsidRDefault="005104F3" w:rsidP="005104F3">
            <w:pPr>
              <w:pStyle w:val="ListParagraph"/>
              <w:ind w:left="0"/>
              <w:jc w:val="right"/>
            </w:pPr>
            <w:r>
              <w:t>15.000.000</w:t>
            </w:r>
          </w:p>
        </w:tc>
      </w:tr>
      <w:tr w:rsidR="004A4FE0" w:rsidTr="00C438D9">
        <w:tc>
          <w:tcPr>
            <w:tcW w:w="772" w:type="dxa"/>
          </w:tcPr>
          <w:p w:rsidR="004A4FE0" w:rsidRDefault="004A4FE0" w:rsidP="002867A4">
            <w:pPr>
              <w:pStyle w:val="ListParagraph"/>
              <w:ind w:left="0"/>
            </w:pPr>
          </w:p>
        </w:tc>
        <w:tc>
          <w:tcPr>
            <w:tcW w:w="2976" w:type="dxa"/>
          </w:tcPr>
          <w:p w:rsidR="004A4FE0" w:rsidRPr="004A4FE0" w:rsidRDefault="004A4FE0" w:rsidP="002867A4">
            <w:pPr>
              <w:pStyle w:val="ListParagraph"/>
              <w:ind w:left="0"/>
            </w:pPr>
            <w:r>
              <w:t>Укупни расходи и издаци:</w:t>
            </w:r>
          </w:p>
        </w:tc>
        <w:tc>
          <w:tcPr>
            <w:tcW w:w="1481" w:type="dxa"/>
          </w:tcPr>
          <w:p w:rsidR="004A4FE0" w:rsidRPr="005A7077" w:rsidRDefault="005A7077" w:rsidP="005104F3">
            <w:pPr>
              <w:pStyle w:val="ListParagraph"/>
              <w:ind w:left="0"/>
              <w:jc w:val="right"/>
            </w:pPr>
            <w:r>
              <w:t>33</w:t>
            </w:r>
            <w:r w:rsidR="00660252">
              <w:t>2</w:t>
            </w:r>
            <w:r>
              <w:t>.000.000</w:t>
            </w:r>
          </w:p>
        </w:tc>
        <w:tc>
          <w:tcPr>
            <w:tcW w:w="1481" w:type="dxa"/>
          </w:tcPr>
          <w:p w:rsidR="004A4FE0" w:rsidRPr="00320A9E" w:rsidRDefault="00320A9E" w:rsidP="00320A9E">
            <w:pPr>
              <w:pStyle w:val="ListParagraph"/>
              <w:ind w:left="0"/>
              <w:jc w:val="right"/>
            </w:pPr>
            <w:r>
              <w:t>300.000.000</w:t>
            </w:r>
          </w:p>
        </w:tc>
        <w:tc>
          <w:tcPr>
            <w:tcW w:w="1483" w:type="dxa"/>
          </w:tcPr>
          <w:p w:rsidR="004A4FE0" w:rsidRPr="00320A9E" w:rsidRDefault="00320A9E" w:rsidP="00320A9E">
            <w:pPr>
              <w:pStyle w:val="ListParagraph"/>
              <w:ind w:left="0"/>
              <w:jc w:val="right"/>
            </w:pPr>
            <w:r>
              <w:t>300.000.000</w:t>
            </w:r>
          </w:p>
        </w:tc>
      </w:tr>
    </w:tbl>
    <w:p w:rsidR="00B66D6D" w:rsidRDefault="00B66D6D" w:rsidP="00B66D6D">
      <w:pPr>
        <w:pStyle w:val="ListParagraph"/>
        <w:ind w:left="0" w:firstLine="720"/>
      </w:pPr>
    </w:p>
    <w:p w:rsidR="00B66D6D" w:rsidRDefault="00B66D6D" w:rsidP="00B66D6D">
      <w:pPr>
        <w:pStyle w:val="ListParagraph"/>
        <w:ind w:left="0" w:firstLine="720"/>
      </w:pPr>
    </w:p>
    <w:p w:rsidR="00B66D6D" w:rsidRDefault="00B66D6D" w:rsidP="00B66D6D">
      <w:pPr>
        <w:pStyle w:val="ListParagraph"/>
        <w:ind w:left="0" w:firstLine="720"/>
      </w:pPr>
    </w:p>
    <w:p w:rsidR="001A072D" w:rsidRDefault="0070156E" w:rsidP="00B66D6D">
      <w:pPr>
        <w:pStyle w:val="ListParagraph"/>
        <w:ind w:left="0" w:firstLine="720"/>
        <w:rPr>
          <w:b/>
        </w:rPr>
      </w:pPr>
      <w:r w:rsidRPr="001A072D">
        <w:rPr>
          <w:b/>
        </w:rPr>
        <w:t xml:space="preserve"> IV ОБИМ СРЕДСТАВА КОЈЕ МОЖЕ ДА САДРЖИ ПРЕДЛОГ ФИНАНСИЈСКОГ ПЛАНА КОРИСНИКА СРЕДСТАВА БУЏЕТА ОПШТИНЕ </w:t>
      </w:r>
      <w:r w:rsidR="00B66D6D" w:rsidRPr="001A072D">
        <w:rPr>
          <w:b/>
        </w:rPr>
        <w:t>ЋИЋЕВАЦ</w:t>
      </w:r>
      <w:r w:rsidRPr="001A072D">
        <w:rPr>
          <w:b/>
        </w:rPr>
        <w:t xml:space="preserve"> ЗА 201</w:t>
      </w:r>
      <w:r w:rsidR="00CF4C0F">
        <w:rPr>
          <w:b/>
        </w:rPr>
        <w:t>9</w:t>
      </w:r>
      <w:r w:rsidRPr="001A072D">
        <w:rPr>
          <w:b/>
        </w:rPr>
        <w:t>. ГОДИНУ СА ПРОЈЕКЦИЈАМА ЗА НАРЕДНЕ ДВЕ ФИСКАЛНЕ ГОДИНЕ</w:t>
      </w:r>
    </w:p>
    <w:p w:rsidR="001A072D" w:rsidRPr="001A072D" w:rsidRDefault="001A072D" w:rsidP="00B66D6D">
      <w:pPr>
        <w:pStyle w:val="ListParagraph"/>
        <w:ind w:left="0" w:firstLine="720"/>
        <w:rPr>
          <w:b/>
        </w:rPr>
      </w:pPr>
    </w:p>
    <w:p w:rsidR="001A072D" w:rsidRDefault="0070156E" w:rsidP="00B66D6D">
      <w:pPr>
        <w:pStyle w:val="ListParagraph"/>
        <w:ind w:left="0" w:firstLine="720"/>
      </w:pPr>
      <w:r>
        <w:t xml:space="preserve"> Лимити укупних расхода по годинама за трогодишњи период, на неки начин представљају основ за увођење средњорочног оквира расхода који треба да повећају предвидивост јавних финансија за буџетске кориснике и створе одређену препреку за њихову експанзију. </w:t>
      </w:r>
    </w:p>
    <w:p w:rsidR="001A072D" w:rsidRDefault="0070156E" w:rsidP="00B66D6D">
      <w:pPr>
        <w:pStyle w:val="ListParagraph"/>
        <w:ind w:left="0" w:firstLine="720"/>
      </w:pPr>
      <w:r>
        <w:t>При изради предл</w:t>
      </w:r>
      <w:r w:rsidR="00CF4C0F">
        <w:t>ога финансијских планова за 2019</w:t>
      </w:r>
      <w:r>
        <w:t xml:space="preserve">. годину, буџетски корисници треба да планирају расходе и издатке до нивоа утврђеног овим Упутством. </w:t>
      </w:r>
    </w:p>
    <w:p w:rsidR="001A072D" w:rsidRDefault="0070156E" w:rsidP="00B66D6D">
      <w:pPr>
        <w:pStyle w:val="ListParagraph"/>
        <w:ind w:left="0" w:firstLine="720"/>
      </w:pPr>
      <w:r>
        <w:t>Полазну основу за утврђивање обима средстава у предлозима финансијских планова директних корисника средстава буџета за 201</w:t>
      </w:r>
      <w:r w:rsidR="00CF4C0F">
        <w:t>9</w:t>
      </w:r>
      <w:r>
        <w:t>. годину, чини обим средстава за расходе директних корисника утврђен Одлуком о буџету општине за 201</w:t>
      </w:r>
      <w:r w:rsidR="00CF4C0F">
        <w:t>8</w:t>
      </w:r>
      <w:r>
        <w:t xml:space="preserve">. годину (Сл. лист општине </w:t>
      </w:r>
      <w:r w:rsidR="00320A9E">
        <w:t xml:space="preserve">Ћићевац </w:t>
      </w:r>
      <w:r>
        <w:t xml:space="preserve">, број </w:t>
      </w:r>
      <w:r w:rsidR="00320A9E">
        <w:t>2</w:t>
      </w:r>
      <w:r w:rsidR="00536C1C">
        <w:t>1</w:t>
      </w:r>
      <w:r>
        <w:t>/201</w:t>
      </w:r>
      <w:r w:rsidR="00536C1C">
        <w:t>7</w:t>
      </w:r>
      <w:r>
        <w:t>), из извора 01- Приходи из буџета.</w:t>
      </w:r>
    </w:p>
    <w:p w:rsidR="001A072D" w:rsidRDefault="0070156E" w:rsidP="00B66D6D">
      <w:pPr>
        <w:pStyle w:val="ListParagraph"/>
        <w:ind w:left="0" w:firstLine="720"/>
      </w:pPr>
      <w:r>
        <w:t xml:space="preserve"> Обим средстава који може да садржи предлог финансијског плана директног корисника средстава буџета за 201</w:t>
      </w:r>
      <w:r w:rsidR="00CF4C0F">
        <w:t>9</w:t>
      </w:r>
      <w:r>
        <w:t>. годину, из извора 01- Приходи из буџета, са пројекцијама за наредне две фискалне године по организационој класификацији утврђен је у следећој табели:</w:t>
      </w:r>
    </w:p>
    <w:p w:rsidR="00273132" w:rsidRPr="00273132" w:rsidRDefault="00273132" w:rsidP="00B66D6D">
      <w:pPr>
        <w:pStyle w:val="ListParagraph"/>
        <w:ind w:left="0" w:firstLine="720"/>
      </w:pPr>
    </w:p>
    <w:p w:rsidR="001A072D" w:rsidRPr="00F60C7F" w:rsidRDefault="0070156E" w:rsidP="00F60C7F">
      <w:pPr>
        <w:pStyle w:val="ListParagraph"/>
        <w:ind w:left="0" w:firstLine="720"/>
      </w:pPr>
      <w:r>
        <w:lastRenderedPageBreak/>
        <w:t xml:space="preserve"> Табела: Обим средстава који може да садржи предлог финансијског плана директног корисника средстава буџета општине </w:t>
      </w:r>
      <w:r w:rsidR="00915A40">
        <w:t>Ћићевац</w:t>
      </w:r>
      <w:r>
        <w:t xml:space="preserve"> за 201</w:t>
      </w:r>
      <w:r w:rsidR="00CF4C0F">
        <w:t>9. годину, са пројекцијом за 2020</w:t>
      </w:r>
      <w:r>
        <w:t>. и 202</w:t>
      </w:r>
      <w:r w:rsidR="00CF4C0F">
        <w:t>1</w:t>
      </w:r>
      <w:r>
        <w:t>. годину из извора финансирања 01 - Приходи из буџета</w:t>
      </w:r>
    </w:p>
    <w:p w:rsidR="00273132" w:rsidRPr="00273132" w:rsidRDefault="00273132" w:rsidP="00B66D6D">
      <w:pPr>
        <w:pStyle w:val="ListParagraph"/>
        <w:ind w:left="0" w:firstLine="720"/>
      </w:pPr>
    </w:p>
    <w:tbl>
      <w:tblPr>
        <w:tblStyle w:val="TableGrid"/>
        <w:tblW w:w="0" w:type="auto"/>
        <w:tblLook w:val="04A0"/>
      </w:tblPr>
      <w:tblGrid>
        <w:gridCol w:w="958"/>
        <w:gridCol w:w="2870"/>
        <w:gridCol w:w="1919"/>
        <w:gridCol w:w="1914"/>
        <w:gridCol w:w="6"/>
        <w:gridCol w:w="1909"/>
      </w:tblGrid>
      <w:tr w:rsidR="00FB548C" w:rsidTr="00FB548C">
        <w:trPr>
          <w:trHeight w:val="298"/>
        </w:trPr>
        <w:tc>
          <w:tcPr>
            <w:tcW w:w="958" w:type="dxa"/>
            <w:vMerge w:val="restart"/>
          </w:tcPr>
          <w:p w:rsidR="00FB548C" w:rsidRPr="00273132" w:rsidRDefault="00FB548C" w:rsidP="00B66D6D">
            <w:pPr>
              <w:pStyle w:val="ListParagraph"/>
              <w:ind w:left="0"/>
            </w:pPr>
            <w:r>
              <w:t>Раздео</w:t>
            </w:r>
          </w:p>
        </w:tc>
        <w:tc>
          <w:tcPr>
            <w:tcW w:w="2870" w:type="dxa"/>
            <w:vMerge w:val="restart"/>
          </w:tcPr>
          <w:p w:rsidR="00FB548C" w:rsidRPr="00273132" w:rsidRDefault="00FB548C" w:rsidP="00273132">
            <w:pPr>
              <w:pStyle w:val="ListParagraph"/>
              <w:ind w:left="0"/>
              <w:jc w:val="center"/>
            </w:pPr>
            <w:r>
              <w:t>Опис</w:t>
            </w:r>
          </w:p>
        </w:tc>
        <w:tc>
          <w:tcPr>
            <w:tcW w:w="5748" w:type="dxa"/>
            <w:gridSpan w:val="4"/>
            <w:tcBorders>
              <w:bottom w:val="single" w:sz="4" w:space="0" w:color="auto"/>
            </w:tcBorders>
          </w:tcPr>
          <w:p w:rsidR="00FB548C" w:rsidRPr="00273132" w:rsidRDefault="00FB548C" w:rsidP="00FB548C">
            <w:pPr>
              <w:pStyle w:val="ListParagraph"/>
              <w:ind w:left="0"/>
              <w:jc w:val="center"/>
            </w:pPr>
            <w:r>
              <w:t>Пројекција за</w:t>
            </w:r>
          </w:p>
        </w:tc>
      </w:tr>
      <w:tr w:rsidR="00FB548C" w:rsidTr="00FB548C">
        <w:trPr>
          <w:trHeight w:val="234"/>
        </w:trPr>
        <w:tc>
          <w:tcPr>
            <w:tcW w:w="958" w:type="dxa"/>
            <w:vMerge/>
          </w:tcPr>
          <w:p w:rsidR="00FB548C" w:rsidRDefault="00FB548C" w:rsidP="00B66D6D">
            <w:pPr>
              <w:pStyle w:val="ListParagraph"/>
              <w:ind w:left="0"/>
            </w:pPr>
          </w:p>
        </w:tc>
        <w:tc>
          <w:tcPr>
            <w:tcW w:w="2870" w:type="dxa"/>
            <w:vMerge/>
          </w:tcPr>
          <w:p w:rsidR="00FB548C" w:rsidRDefault="00FB548C" w:rsidP="00273132">
            <w:pPr>
              <w:pStyle w:val="ListParagraph"/>
              <w:ind w:left="0"/>
              <w:jc w:val="center"/>
            </w:pPr>
          </w:p>
        </w:tc>
        <w:tc>
          <w:tcPr>
            <w:tcW w:w="1919" w:type="dxa"/>
            <w:tcBorders>
              <w:top w:val="single" w:sz="4" w:space="0" w:color="auto"/>
              <w:right w:val="single" w:sz="4" w:space="0" w:color="auto"/>
            </w:tcBorders>
          </w:tcPr>
          <w:p w:rsidR="00FB548C" w:rsidRPr="00CF4C0F" w:rsidRDefault="00FB548C" w:rsidP="00CF4C0F">
            <w:pPr>
              <w:pStyle w:val="ListParagraph"/>
              <w:ind w:left="0"/>
              <w:jc w:val="center"/>
            </w:pPr>
            <w:r>
              <w:t>20</w:t>
            </w:r>
            <w:r w:rsidR="00CF4C0F">
              <w:t>19</w:t>
            </w:r>
          </w:p>
        </w:tc>
        <w:tc>
          <w:tcPr>
            <w:tcW w:w="1920" w:type="dxa"/>
            <w:gridSpan w:val="2"/>
            <w:tcBorders>
              <w:top w:val="single" w:sz="4" w:space="0" w:color="auto"/>
              <w:left w:val="single" w:sz="4" w:space="0" w:color="auto"/>
              <w:right w:val="single" w:sz="4" w:space="0" w:color="auto"/>
            </w:tcBorders>
          </w:tcPr>
          <w:p w:rsidR="00FB548C" w:rsidRPr="00CF4C0F" w:rsidRDefault="00FB548C" w:rsidP="00CF4C0F">
            <w:pPr>
              <w:pStyle w:val="ListParagraph"/>
              <w:ind w:left="0"/>
              <w:jc w:val="center"/>
            </w:pPr>
            <w:r>
              <w:t>20</w:t>
            </w:r>
            <w:r w:rsidR="00CF4C0F">
              <w:t>20</w:t>
            </w:r>
          </w:p>
        </w:tc>
        <w:tc>
          <w:tcPr>
            <w:tcW w:w="1909" w:type="dxa"/>
            <w:tcBorders>
              <w:top w:val="single" w:sz="4" w:space="0" w:color="auto"/>
              <w:left w:val="single" w:sz="4" w:space="0" w:color="auto"/>
            </w:tcBorders>
          </w:tcPr>
          <w:p w:rsidR="00FB548C" w:rsidRPr="00CF4C0F" w:rsidRDefault="00FB548C" w:rsidP="00CF4C0F">
            <w:pPr>
              <w:pStyle w:val="ListParagraph"/>
              <w:ind w:left="0"/>
              <w:jc w:val="center"/>
            </w:pPr>
            <w:r>
              <w:t>202</w:t>
            </w:r>
            <w:r w:rsidR="00CF4C0F">
              <w:t>1</w:t>
            </w:r>
          </w:p>
        </w:tc>
      </w:tr>
      <w:tr w:rsidR="00273132" w:rsidTr="00FB548C">
        <w:tc>
          <w:tcPr>
            <w:tcW w:w="958" w:type="dxa"/>
          </w:tcPr>
          <w:p w:rsidR="00273132" w:rsidRPr="00A07578" w:rsidRDefault="00A07578" w:rsidP="00B66D6D">
            <w:pPr>
              <w:pStyle w:val="ListParagraph"/>
              <w:ind w:left="0"/>
            </w:pPr>
            <w:r>
              <w:t>1.</w:t>
            </w:r>
          </w:p>
        </w:tc>
        <w:tc>
          <w:tcPr>
            <w:tcW w:w="2870" w:type="dxa"/>
          </w:tcPr>
          <w:p w:rsidR="00273132" w:rsidRPr="00A07578" w:rsidRDefault="00A07578" w:rsidP="00B66D6D">
            <w:pPr>
              <w:pStyle w:val="ListParagraph"/>
              <w:ind w:left="0"/>
            </w:pPr>
            <w:r>
              <w:t>Скупштина општине</w:t>
            </w:r>
          </w:p>
        </w:tc>
        <w:tc>
          <w:tcPr>
            <w:tcW w:w="1919" w:type="dxa"/>
            <w:tcBorders>
              <w:right w:val="single" w:sz="4" w:space="0" w:color="auto"/>
            </w:tcBorders>
          </w:tcPr>
          <w:p w:rsidR="00273132" w:rsidRDefault="005828A1" w:rsidP="005828A1">
            <w:pPr>
              <w:pStyle w:val="ListParagraph"/>
              <w:ind w:left="0"/>
              <w:jc w:val="right"/>
            </w:pPr>
            <w:r>
              <w:t>10.000.000</w:t>
            </w:r>
          </w:p>
        </w:tc>
        <w:tc>
          <w:tcPr>
            <w:tcW w:w="1914" w:type="dxa"/>
            <w:tcBorders>
              <w:left w:val="single" w:sz="4" w:space="0" w:color="auto"/>
              <w:right w:val="single" w:sz="4" w:space="0" w:color="auto"/>
            </w:tcBorders>
          </w:tcPr>
          <w:p w:rsidR="00273132" w:rsidRPr="005828A1" w:rsidRDefault="005828A1" w:rsidP="005828A1">
            <w:pPr>
              <w:pStyle w:val="ListParagraph"/>
              <w:ind w:left="0"/>
              <w:jc w:val="right"/>
            </w:pPr>
            <w:r>
              <w:t>10.000.000</w:t>
            </w:r>
          </w:p>
        </w:tc>
        <w:tc>
          <w:tcPr>
            <w:tcW w:w="1915" w:type="dxa"/>
            <w:gridSpan w:val="2"/>
            <w:tcBorders>
              <w:left w:val="single" w:sz="4" w:space="0" w:color="auto"/>
            </w:tcBorders>
          </w:tcPr>
          <w:p w:rsidR="00273132" w:rsidRPr="005828A1" w:rsidRDefault="005828A1" w:rsidP="005828A1">
            <w:pPr>
              <w:pStyle w:val="ListParagraph"/>
              <w:ind w:left="0"/>
              <w:jc w:val="right"/>
            </w:pPr>
            <w:r>
              <w:t>10.000.000</w:t>
            </w:r>
          </w:p>
        </w:tc>
      </w:tr>
      <w:tr w:rsidR="00273132" w:rsidTr="00FB548C">
        <w:tc>
          <w:tcPr>
            <w:tcW w:w="958" w:type="dxa"/>
          </w:tcPr>
          <w:p w:rsidR="00273132" w:rsidRPr="00A07578" w:rsidRDefault="00A07578" w:rsidP="00B66D6D">
            <w:pPr>
              <w:pStyle w:val="ListParagraph"/>
              <w:ind w:left="0"/>
            </w:pPr>
            <w:r>
              <w:t>2.</w:t>
            </w:r>
          </w:p>
        </w:tc>
        <w:tc>
          <w:tcPr>
            <w:tcW w:w="2870" w:type="dxa"/>
          </w:tcPr>
          <w:p w:rsidR="00273132" w:rsidRPr="00A07578" w:rsidRDefault="00A07578" w:rsidP="00B66D6D">
            <w:pPr>
              <w:pStyle w:val="ListParagraph"/>
              <w:ind w:left="0"/>
            </w:pPr>
            <w:r>
              <w:t>Председник општине</w:t>
            </w:r>
          </w:p>
        </w:tc>
        <w:tc>
          <w:tcPr>
            <w:tcW w:w="1919" w:type="dxa"/>
          </w:tcPr>
          <w:p w:rsidR="00273132" w:rsidRDefault="005828A1" w:rsidP="005828A1">
            <w:pPr>
              <w:pStyle w:val="ListParagraph"/>
              <w:ind w:left="0"/>
              <w:jc w:val="right"/>
            </w:pPr>
            <w:r>
              <w:t>14.000.000</w:t>
            </w:r>
          </w:p>
        </w:tc>
        <w:tc>
          <w:tcPr>
            <w:tcW w:w="1914" w:type="dxa"/>
          </w:tcPr>
          <w:p w:rsidR="00273132" w:rsidRPr="005828A1" w:rsidRDefault="005828A1" w:rsidP="005828A1">
            <w:pPr>
              <w:pStyle w:val="ListParagraph"/>
              <w:ind w:left="0"/>
              <w:jc w:val="right"/>
            </w:pPr>
            <w:r>
              <w:t>14.000.000</w:t>
            </w:r>
          </w:p>
        </w:tc>
        <w:tc>
          <w:tcPr>
            <w:tcW w:w="1915" w:type="dxa"/>
            <w:gridSpan w:val="2"/>
          </w:tcPr>
          <w:p w:rsidR="00273132" w:rsidRPr="005828A1" w:rsidRDefault="005828A1" w:rsidP="005828A1">
            <w:pPr>
              <w:pStyle w:val="ListParagraph"/>
              <w:ind w:left="0"/>
              <w:jc w:val="right"/>
            </w:pPr>
            <w:r>
              <w:t>14.000.000</w:t>
            </w:r>
          </w:p>
        </w:tc>
      </w:tr>
      <w:tr w:rsidR="00273132" w:rsidTr="00FB548C">
        <w:tc>
          <w:tcPr>
            <w:tcW w:w="958" w:type="dxa"/>
          </w:tcPr>
          <w:p w:rsidR="00273132" w:rsidRPr="00A07578" w:rsidRDefault="00A07578" w:rsidP="00B66D6D">
            <w:pPr>
              <w:pStyle w:val="ListParagraph"/>
              <w:ind w:left="0"/>
            </w:pPr>
            <w:r>
              <w:t>2.</w:t>
            </w:r>
          </w:p>
        </w:tc>
        <w:tc>
          <w:tcPr>
            <w:tcW w:w="2870" w:type="dxa"/>
          </w:tcPr>
          <w:p w:rsidR="00273132" w:rsidRPr="00A07578" w:rsidRDefault="00A07578" w:rsidP="00B66D6D">
            <w:pPr>
              <w:pStyle w:val="ListParagraph"/>
              <w:ind w:left="0"/>
            </w:pPr>
            <w:r>
              <w:t>Општинско веће</w:t>
            </w:r>
          </w:p>
        </w:tc>
        <w:tc>
          <w:tcPr>
            <w:tcW w:w="1919" w:type="dxa"/>
          </w:tcPr>
          <w:p w:rsidR="00273132" w:rsidRDefault="005828A1" w:rsidP="005828A1">
            <w:pPr>
              <w:pStyle w:val="ListParagraph"/>
              <w:ind w:left="0"/>
              <w:jc w:val="right"/>
            </w:pPr>
            <w:r>
              <w:t>7.500.000</w:t>
            </w:r>
          </w:p>
        </w:tc>
        <w:tc>
          <w:tcPr>
            <w:tcW w:w="1914" w:type="dxa"/>
          </w:tcPr>
          <w:p w:rsidR="00273132" w:rsidRPr="005828A1" w:rsidRDefault="005828A1" w:rsidP="005828A1">
            <w:pPr>
              <w:pStyle w:val="ListParagraph"/>
              <w:ind w:left="0"/>
              <w:jc w:val="right"/>
            </w:pPr>
            <w:r>
              <w:t>7.500.000</w:t>
            </w:r>
          </w:p>
        </w:tc>
        <w:tc>
          <w:tcPr>
            <w:tcW w:w="1915" w:type="dxa"/>
            <w:gridSpan w:val="2"/>
          </w:tcPr>
          <w:p w:rsidR="00273132" w:rsidRPr="005828A1" w:rsidRDefault="005828A1" w:rsidP="005828A1">
            <w:pPr>
              <w:pStyle w:val="ListParagraph"/>
              <w:ind w:left="0"/>
              <w:jc w:val="right"/>
            </w:pPr>
            <w:r>
              <w:t>7.500.000</w:t>
            </w:r>
          </w:p>
        </w:tc>
      </w:tr>
      <w:tr w:rsidR="00273132" w:rsidTr="00FB548C">
        <w:tc>
          <w:tcPr>
            <w:tcW w:w="958" w:type="dxa"/>
          </w:tcPr>
          <w:p w:rsidR="00273132" w:rsidRPr="00A07578" w:rsidRDefault="00A07578" w:rsidP="00B66D6D">
            <w:pPr>
              <w:pStyle w:val="ListParagraph"/>
              <w:ind w:left="0"/>
            </w:pPr>
            <w:r>
              <w:t>3.</w:t>
            </w:r>
          </w:p>
        </w:tc>
        <w:tc>
          <w:tcPr>
            <w:tcW w:w="2870" w:type="dxa"/>
          </w:tcPr>
          <w:p w:rsidR="00273132" w:rsidRPr="00A07578" w:rsidRDefault="00A07578" w:rsidP="00B66D6D">
            <w:pPr>
              <w:pStyle w:val="ListParagraph"/>
              <w:ind w:left="0"/>
            </w:pPr>
            <w:r>
              <w:t>Општинско правобранилаштво</w:t>
            </w:r>
          </w:p>
        </w:tc>
        <w:tc>
          <w:tcPr>
            <w:tcW w:w="1919" w:type="dxa"/>
          </w:tcPr>
          <w:p w:rsidR="00273132" w:rsidRDefault="005828A1" w:rsidP="005828A1">
            <w:pPr>
              <w:pStyle w:val="ListParagraph"/>
              <w:ind w:left="0"/>
              <w:jc w:val="right"/>
            </w:pPr>
            <w:r>
              <w:t>1.500.000</w:t>
            </w:r>
          </w:p>
        </w:tc>
        <w:tc>
          <w:tcPr>
            <w:tcW w:w="1914" w:type="dxa"/>
          </w:tcPr>
          <w:p w:rsidR="00273132" w:rsidRPr="005828A1" w:rsidRDefault="005828A1" w:rsidP="005828A1">
            <w:pPr>
              <w:pStyle w:val="ListParagraph"/>
              <w:ind w:left="0"/>
              <w:jc w:val="right"/>
            </w:pPr>
            <w:r>
              <w:t>1.500.000</w:t>
            </w:r>
          </w:p>
        </w:tc>
        <w:tc>
          <w:tcPr>
            <w:tcW w:w="1915" w:type="dxa"/>
            <w:gridSpan w:val="2"/>
          </w:tcPr>
          <w:p w:rsidR="00273132" w:rsidRPr="005828A1" w:rsidRDefault="005828A1" w:rsidP="005828A1">
            <w:pPr>
              <w:pStyle w:val="ListParagraph"/>
              <w:ind w:left="0"/>
              <w:jc w:val="right"/>
            </w:pPr>
            <w:r>
              <w:t>1.1500.000</w:t>
            </w:r>
          </w:p>
        </w:tc>
      </w:tr>
      <w:tr w:rsidR="00273132" w:rsidTr="00FB548C">
        <w:tc>
          <w:tcPr>
            <w:tcW w:w="958" w:type="dxa"/>
          </w:tcPr>
          <w:p w:rsidR="00273132" w:rsidRPr="00A07578" w:rsidRDefault="00A07578" w:rsidP="00B66D6D">
            <w:pPr>
              <w:pStyle w:val="ListParagraph"/>
              <w:ind w:left="0"/>
            </w:pPr>
            <w:r>
              <w:t>4.</w:t>
            </w:r>
          </w:p>
        </w:tc>
        <w:tc>
          <w:tcPr>
            <w:tcW w:w="2870" w:type="dxa"/>
          </w:tcPr>
          <w:p w:rsidR="00273132" w:rsidRPr="00A07578" w:rsidRDefault="00A07578" w:rsidP="00A07578">
            <w:pPr>
              <w:pStyle w:val="ListParagraph"/>
              <w:ind w:left="0"/>
            </w:pPr>
            <w:r>
              <w:t>Општинска управа</w:t>
            </w:r>
          </w:p>
        </w:tc>
        <w:tc>
          <w:tcPr>
            <w:tcW w:w="1919" w:type="dxa"/>
          </w:tcPr>
          <w:p w:rsidR="00273132" w:rsidRDefault="00705A5B" w:rsidP="00705A5B">
            <w:pPr>
              <w:pStyle w:val="ListParagraph"/>
              <w:ind w:left="0"/>
              <w:jc w:val="right"/>
            </w:pPr>
            <w:r>
              <w:t>239</w:t>
            </w:r>
            <w:r w:rsidR="005828A1">
              <w:t>.</w:t>
            </w:r>
            <w:r>
              <w:t>5</w:t>
            </w:r>
            <w:r w:rsidR="005828A1">
              <w:t>00.000</w:t>
            </w:r>
          </w:p>
        </w:tc>
        <w:tc>
          <w:tcPr>
            <w:tcW w:w="1914" w:type="dxa"/>
          </w:tcPr>
          <w:p w:rsidR="00273132" w:rsidRPr="005828A1" w:rsidRDefault="005828A1" w:rsidP="005828A1">
            <w:pPr>
              <w:pStyle w:val="ListParagraph"/>
              <w:ind w:left="0"/>
              <w:jc w:val="right"/>
            </w:pPr>
            <w:r>
              <w:t>2</w:t>
            </w:r>
            <w:r w:rsidR="0046213B">
              <w:t>09.500.000</w:t>
            </w:r>
          </w:p>
        </w:tc>
        <w:tc>
          <w:tcPr>
            <w:tcW w:w="1915" w:type="dxa"/>
            <w:gridSpan w:val="2"/>
          </w:tcPr>
          <w:p w:rsidR="00273132" w:rsidRPr="005828A1" w:rsidRDefault="005828A1" w:rsidP="0046213B">
            <w:pPr>
              <w:pStyle w:val="ListParagraph"/>
              <w:ind w:left="0"/>
              <w:jc w:val="right"/>
            </w:pPr>
            <w:r>
              <w:t>2</w:t>
            </w:r>
            <w:r w:rsidR="0046213B">
              <w:t>09</w:t>
            </w:r>
            <w:r>
              <w:t>.</w:t>
            </w:r>
            <w:r w:rsidR="0046213B">
              <w:t>5</w:t>
            </w:r>
            <w:r>
              <w:t>00.000</w:t>
            </w:r>
          </w:p>
        </w:tc>
      </w:tr>
    </w:tbl>
    <w:p w:rsidR="001A072D" w:rsidRPr="00F60C7F" w:rsidRDefault="001A072D" w:rsidP="00112116">
      <w:pPr>
        <w:pStyle w:val="ListParagraph"/>
        <w:ind w:left="0"/>
      </w:pPr>
    </w:p>
    <w:p w:rsidR="001A072D" w:rsidRDefault="001A072D" w:rsidP="00B66D6D">
      <w:pPr>
        <w:pStyle w:val="ListParagraph"/>
        <w:ind w:left="0" w:firstLine="720"/>
      </w:pPr>
    </w:p>
    <w:p w:rsidR="001A072D" w:rsidRDefault="0070156E" w:rsidP="00B66D6D">
      <w:pPr>
        <w:pStyle w:val="ListParagraph"/>
        <w:ind w:left="0" w:firstLine="720"/>
      </w:pPr>
      <w:r>
        <w:t xml:space="preserve"> У прилогу овог упутства налази се табела са лимитима средстава за сваког индиректног корисника појединачно. Индиректни буџетски корисник у оквиру тако добијеног лимита расподељује средства на програме, програмске активности и/или пројекте, користећи прописану економску класификацију на четири цифре.</w:t>
      </w:r>
    </w:p>
    <w:p w:rsidR="00B8773B" w:rsidRPr="00B8773B" w:rsidRDefault="00B8773B" w:rsidP="00B66D6D">
      <w:pPr>
        <w:pStyle w:val="ListParagraph"/>
        <w:ind w:left="0" w:firstLine="720"/>
      </w:pPr>
    </w:p>
    <w:tbl>
      <w:tblPr>
        <w:tblStyle w:val="TableGrid"/>
        <w:tblW w:w="0" w:type="auto"/>
        <w:tblLook w:val="04A0"/>
      </w:tblPr>
      <w:tblGrid>
        <w:gridCol w:w="958"/>
        <w:gridCol w:w="2870"/>
        <w:gridCol w:w="1919"/>
        <w:gridCol w:w="1914"/>
        <w:gridCol w:w="6"/>
        <w:gridCol w:w="1909"/>
      </w:tblGrid>
      <w:tr w:rsidR="00B8773B" w:rsidTr="002867A4">
        <w:trPr>
          <w:trHeight w:val="298"/>
        </w:trPr>
        <w:tc>
          <w:tcPr>
            <w:tcW w:w="958" w:type="dxa"/>
            <w:vMerge w:val="restart"/>
          </w:tcPr>
          <w:p w:rsidR="00B8773B" w:rsidRDefault="00B8773B" w:rsidP="002867A4">
            <w:pPr>
              <w:pStyle w:val="ListParagraph"/>
              <w:ind w:left="0"/>
            </w:pPr>
            <w:r>
              <w:t>Раздео</w:t>
            </w:r>
          </w:p>
          <w:p w:rsidR="00705A5B" w:rsidRPr="00705A5B" w:rsidRDefault="00705A5B" w:rsidP="002867A4">
            <w:pPr>
              <w:pStyle w:val="ListParagraph"/>
              <w:ind w:left="0"/>
            </w:pPr>
            <w:r>
              <w:t>Глава</w:t>
            </w:r>
          </w:p>
        </w:tc>
        <w:tc>
          <w:tcPr>
            <w:tcW w:w="2870" w:type="dxa"/>
            <w:vMerge w:val="restart"/>
          </w:tcPr>
          <w:p w:rsidR="00B8773B" w:rsidRPr="00273132" w:rsidRDefault="00B8773B" w:rsidP="002867A4">
            <w:pPr>
              <w:pStyle w:val="ListParagraph"/>
              <w:ind w:left="0"/>
              <w:jc w:val="center"/>
            </w:pPr>
            <w:r>
              <w:t>Опис</w:t>
            </w:r>
          </w:p>
        </w:tc>
        <w:tc>
          <w:tcPr>
            <w:tcW w:w="5748" w:type="dxa"/>
            <w:gridSpan w:val="4"/>
            <w:tcBorders>
              <w:bottom w:val="single" w:sz="4" w:space="0" w:color="auto"/>
            </w:tcBorders>
          </w:tcPr>
          <w:p w:rsidR="00B8773B" w:rsidRPr="00273132" w:rsidRDefault="00B8773B" w:rsidP="002867A4">
            <w:pPr>
              <w:pStyle w:val="ListParagraph"/>
              <w:ind w:left="0"/>
              <w:jc w:val="center"/>
            </w:pPr>
            <w:r>
              <w:t>Пројекција за</w:t>
            </w:r>
          </w:p>
        </w:tc>
      </w:tr>
      <w:tr w:rsidR="00B8773B" w:rsidTr="002867A4">
        <w:trPr>
          <w:trHeight w:val="234"/>
        </w:trPr>
        <w:tc>
          <w:tcPr>
            <w:tcW w:w="958" w:type="dxa"/>
            <w:vMerge/>
          </w:tcPr>
          <w:p w:rsidR="00B8773B" w:rsidRDefault="00B8773B" w:rsidP="002867A4">
            <w:pPr>
              <w:pStyle w:val="ListParagraph"/>
              <w:ind w:left="0"/>
            </w:pPr>
          </w:p>
        </w:tc>
        <w:tc>
          <w:tcPr>
            <w:tcW w:w="2870" w:type="dxa"/>
            <w:vMerge/>
          </w:tcPr>
          <w:p w:rsidR="00B8773B" w:rsidRDefault="00B8773B" w:rsidP="002867A4">
            <w:pPr>
              <w:pStyle w:val="ListParagraph"/>
              <w:ind w:left="0"/>
              <w:jc w:val="center"/>
            </w:pPr>
          </w:p>
        </w:tc>
        <w:tc>
          <w:tcPr>
            <w:tcW w:w="1919" w:type="dxa"/>
            <w:tcBorders>
              <w:top w:val="single" w:sz="4" w:space="0" w:color="auto"/>
              <w:right w:val="single" w:sz="4" w:space="0" w:color="auto"/>
            </w:tcBorders>
          </w:tcPr>
          <w:p w:rsidR="00B8773B" w:rsidRPr="00CF4C0F" w:rsidRDefault="00B8773B" w:rsidP="00CF4C0F">
            <w:pPr>
              <w:pStyle w:val="ListParagraph"/>
              <w:ind w:left="0"/>
              <w:jc w:val="center"/>
            </w:pPr>
            <w:r>
              <w:t>201</w:t>
            </w:r>
            <w:r w:rsidR="00CF4C0F">
              <w:t>9</w:t>
            </w:r>
          </w:p>
        </w:tc>
        <w:tc>
          <w:tcPr>
            <w:tcW w:w="1920" w:type="dxa"/>
            <w:gridSpan w:val="2"/>
            <w:tcBorders>
              <w:top w:val="single" w:sz="4" w:space="0" w:color="auto"/>
              <w:left w:val="single" w:sz="4" w:space="0" w:color="auto"/>
              <w:right w:val="single" w:sz="4" w:space="0" w:color="auto"/>
            </w:tcBorders>
          </w:tcPr>
          <w:p w:rsidR="00B8773B" w:rsidRPr="00CF4C0F" w:rsidRDefault="00B8773B" w:rsidP="00CF4C0F">
            <w:pPr>
              <w:pStyle w:val="ListParagraph"/>
              <w:ind w:left="0"/>
              <w:jc w:val="center"/>
            </w:pPr>
            <w:r>
              <w:t>20</w:t>
            </w:r>
            <w:r w:rsidR="00CF4C0F">
              <w:t>20</w:t>
            </w:r>
          </w:p>
        </w:tc>
        <w:tc>
          <w:tcPr>
            <w:tcW w:w="1909" w:type="dxa"/>
            <w:tcBorders>
              <w:top w:val="single" w:sz="4" w:space="0" w:color="auto"/>
              <w:left w:val="single" w:sz="4" w:space="0" w:color="auto"/>
            </w:tcBorders>
          </w:tcPr>
          <w:p w:rsidR="00B8773B" w:rsidRPr="00CF4C0F" w:rsidRDefault="00B8773B" w:rsidP="002867A4">
            <w:pPr>
              <w:pStyle w:val="ListParagraph"/>
              <w:ind w:left="0"/>
              <w:jc w:val="center"/>
            </w:pPr>
            <w:r>
              <w:t>202</w:t>
            </w:r>
            <w:r w:rsidR="00CF4C0F">
              <w:t>1</w:t>
            </w:r>
          </w:p>
        </w:tc>
      </w:tr>
      <w:tr w:rsidR="00B8773B" w:rsidTr="002867A4">
        <w:tc>
          <w:tcPr>
            <w:tcW w:w="958" w:type="dxa"/>
          </w:tcPr>
          <w:p w:rsidR="00B8773B" w:rsidRPr="00B8773B" w:rsidRDefault="00B8773B" w:rsidP="002867A4">
            <w:pPr>
              <w:pStyle w:val="ListParagraph"/>
              <w:ind w:left="0"/>
            </w:pPr>
            <w:r>
              <w:t>4.</w:t>
            </w:r>
          </w:p>
        </w:tc>
        <w:tc>
          <w:tcPr>
            <w:tcW w:w="2870" w:type="dxa"/>
          </w:tcPr>
          <w:p w:rsidR="00B8773B" w:rsidRPr="00B8773B" w:rsidRDefault="00B8773B" w:rsidP="002867A4">
            <w:pPr>
              <w:pStyle w:val="ListParagraph"/>
              <w:ind w:left="0"/>
            </w:pPr>
            <w:r>
              <w:t>Народна библиотека</w:t>
            </w:r>
          </w:p>
        </w:tc>
        <w:tc>
          <w:tcPr>
            <w:tcW w:w="1919" w:type="dxa"/>
            <w:tcBorders>
              <w:right w:val="single" w:sz="4" w:space="0" w:color="auto"/>
            </w:tcBorders>
          </w:tcPr>
          <w:p w:rsidR="00B8773B" w:rsidRPr="00B8773B" w:rsidRDefault="00B8773B" w:rsidP="000C2043">
            <w:pPr>
              <w:pStyle w:val="ListParagraph"/>
              <w:ind w:left="0"/>
              <w:jc w:val="right"/>
            </w:pPr>
            <w:r>
              <w:t>1</w:t>
            </w:r>
            <w:r w:rsidR="000C2043">
              <w:t>5</w:t>
            </w:r>
            <w:r>
              <w:t>.000.000</w:t>
            </w:r>
          </w:p>
        </w:tc>
        <w:tc>
          <w:tcPr>
            <w:tcW w:w="1914" w:type="dxa"/>
            <w:tcBorders>
              <w:left w:val="single" w:sz="4" w:space="0" w:color="auto"/>
              <w:right w:val="single" w:sz="4" w:space="0" w:color="auto"/>
            </w:tcBorders>
          </w:tcPr>
          <w:p w:rsidR="00B8773B" w:rsidRPr="005828A1" w:rsidRDefault="0046213B" w:rsidP="002867A4">
            <w:pPr>
              <w:pStyle w:val="ListParagraph"/>
              <w:ind w:left="0"/>
              <w:jc w:val="right"/>
            </w:pPr>
            <w:r>
              <w:t>14.000.000</w:t>
            </w:r>
          </w:p>
        </w:tc>
        <w:tc>
          <w:tcPr>
            <w:tcW w:w="1915" w:type="dxa"/>
            <w:gridSpan w:val="2"/>
            <w:tcBorders>
              <w:left w:val="single" w:sz="4" w:space="0" w:color="auto"/>
            </w:tcBorders>
          </w:tcPr>
          <w:p w:rsidR="00B8773B" w:rsidRPr="005828A1" w:rsidRDefault="0046213B" w:rsidP="002867A4">
            <w:pPr>
              <w:pStyle w:val="ListParagraph"/>
              <w:ind w:left="0"/>
              <w:jc w:val="right"/>
            </w:pPr>
            <w:r>
              <w:t>14.000.000</w:t>
            </w:r>
          </w:p>
        </w:tc>
      </w:tr>
      <w:tr w:rsidR="00B8773B" w:rsidTr="002867A4">
        <w:tc>
          <w:tcPr>
            <w:tcW w:w="958" w:type="dxa"/>
          </w:tcPr>
          <w:p w:rsidR="00B8773B" w:rsidRPr="00A07578" w:rsidRDefault="00B8773B" w:rsidP="002867A4">
            <w:pPr>
              <w:pStyle w:val="ListParagraph"/>
              <w:ind w:left="0"/>
            </w:pPr>
          </w:p>
        </w:tc>
        <w:tc>
          <w:tcPr>
            <w:tcW w:w="2870" w:type="dxa"/>
          </w:tcPr>
          <w:p w:rsidR="00B8773B" w:rsidRPr="00B8773B" w:rsidRDefault="00B8773B" w:rsidP="002867A4">
            <w:pPr>
              <w:pStyle w:val="ListParagraph"/>
              <w:ind w:left="0"/>
            </w:pPr>
            <w:r>
              <w:t>Спортски центар Ћићевац</w:t>
            </w:r>
          </w:p>
        </w:tc>
        <w:tc>
          <w:tcPr>
            <w:tcW w:w="1919" w:type="dxa"/>
          </w:tcPr>
          <w:p w:rsidR="00B8773B" w:rsidRPr="00B8773B" w:rsidRDefault="00B8773B" w:rsidP="002867A4">
            <w:pPr>
              <w:pStyle w:val="ListParagraph"/>
              <w:ind w:left="0"/>
              <w:jc w:val="right"/>
            </w:pPr>
            <w:r>
              <w:t>7.000.000</w:t>
            </w:r>
          </w:p>
        </w:tc>
        <w:tc>
          <w:tcPr>
            <w:tcW w:w="1914" w:type="dxa"/>
          </w:tcPr>
          <w:p w:rsidR="00B8773B" w:rsidRPr="005828A1" w:rsidRDefault="0046213B" w:rsidP="002867A4">
            <w:pPr>
              <w:pStyle w:val="ListParagraph"/>
              <w:ind w:left="0"/>
              <w:jc w:val="right"/>
            </w:pPr>
            <w:r>
              <w:t>6.500.000</w:t>
            </w:r>
          </w:p>
        </w:tc>
        <w:tc>
          <w:tcPr>
            <w:tcW w:w="1915" w:type="dxa"/>
            <w:gridSpan w:val="2"/>
          </w:tcPr>
          <w:p w:rsidR="00B8773B" w:rsidRPr="005828A1" w:rsidRDefault="0046213B" w:rsidP="002867A4">
            <w:pPr>
              <w:pStyle w:val="ListParagraph"/>
              <w:ind w:left="0"/>
              <w:jc w:val="right"/>
            </w:pPr>
            <w:r>
              <w:t>6.500.000</w:t>
            </w:r>
          </w:p>
        </w:tc>
      </w:tr>
      <w:tr w:rsidR="00B8773B" w:rsidTr="002867A4">
        <w:tc>
          <w:tcPr>
            <w:tcW w:w="958" w:type="dxa"/>
          </w:tcPr>
          <w:p w:rsidR="00B8773B" w:rsidRPr="00A07578" w:rsidRDefault="00B8773B" w:rsidP="002867A4">
            <w:pPr>
              <w:pStyle w:val="ListParagraph"/>
              <w:ind w:left="0"/>
            </w:pPr>
          </w:p>
        </w:tc>
        <w:tc>
          <w:tcPr>
            <w:tcW w:w="2870" w:type="dxa"/>
          </w:tcPr>
          <w:p w:rsidR="00B8773B" w:rsidRPr="00B8773B" w:rsidRDefault="00B8773B" w:rsidP="002867A4">
            <w:pPr>
              <w:pStyle w:val="ListParagraph"/>
              <w:ind w:left="0"/>
            </w:pPr>
            <w:r>
              <w:t>Предшколска установа</w:t>
            </w:r>
          </w:p>
        </w:tc>
        <w:tc>
          <w:tcPr>
            <w:tcW w:w="1919" w:type="dxa"/>
          </w:tcPr>
          <w:p w:rsidR="00B8773B" w:rsidRPr="00B8773B" w:rsidRDefault="00B8773B" w:rsidP="002867A4">
            <w:pPr>
              <w:pStyle w:val="ListParagraph"/>
              <w:ind w:left="0"/>
              <w:jc w:val="right"/>
            </w:pPr>
            <w:r>
              <w:t>31.000.000</w:t>
            </w:r>
          </w:p>
        </w:tc>
        <w:tc>
          <w:tcPr>
            <w:tcW w:w="1914" w:type="dxa"/>
          </w:tcPr>
          <w:p w:rsidR="00B8773B" w:rsidRPr="005828A1" w:rsidRDefault="0046213B" w:rsidP="002867A4">
            <w:pPr>
              <w:pStyle w:val="ListParagraph"/>
              <w:ind w:left="0"/>
              <w:jc w:val="right"/>
            </w:pPr>
            <w:r>
              <w:t>31.000.000</w:t>
            </w:r>
          </w:p>
        </w:tc>
        <w:tc>
          <w:tcPr>
            <w:tcW w:w="1915" w:type="dxa"/>
            <w:gridSpan w:val="2"/>
          </w:tcPr>
          <w:p w:rsidR="00B8773B" w:rsidRPr="005828A1" w:rsidRDefault="0046213B" w:rsidP="002867A4">
            <w:pPr>
              <w:pStyle w:val="ListParagraph"/>
              <w:ind w:left="0"/>
              <w:jc w:val="right"/>
            </w:pPr>
            <w:r>
              <w:t>31.000.000</w:t>
            </w:r>
          </w:p>
        </w:tc>
      </w:tr>
      <w:tr w:rsidR="00B8773B" w:rsidTr="002867A4">
        <w:tc>
          <w:tcPr>
            <w:tcW w:w="958" w:type="dxa"/>
          </w:tcPr>
          <w:p w:rsidR="00B8773B" w:rsidRPr="00A07578" w:rsidRDefault="00B8773B" w:rsidP="002867A4">
            <w:pPr>
              <w:pStyle w:val="ListParagraph"/>
              <w:ind w:left="0"/>
            </w:pPr>
          </w:p>
        </w:tc>
        <w:tc>
          <w:tcPr>
            <w:tcW w:w="2870" w:type="dxa"/>
          </w:tcPr>
          <w:p w:rsidR="00B8773B" w:rsidRPr="00B8773B" w:rsidRDefault="00B8773B" w:rsidP="002867A4">
            <w:pPr>
              <w:pStyle w:val="ListParagraph"/>
              <w:ind w:left="0"/>
            </w:pPr>
            <w:r>
              <w:t>Месне заједнице</w:t>
            </w:r>
          </w:p>
        </w:tc>
        <w:tc>
          <w:tcPr>
            <w:tcW w:w="1919" w:type="dxa"/>
          </w:tcPr>
          <w:p w:rsidR="00B8773B" w:rsidRPr="00B8773B" w:rsidRDefault="00B8773B" w:rsidP="002867A4">
            <w:pPr>
              <w:pStyle w:val="ListParagraph"/>
              <w:ind w:left="0"/>
              <w:jc w:val="right"/>
            </w:pPr>
            <w:r>
              <w:t>5.500.000</w:t>
            </w:r>
          </w:p>
        </w:tc>
        <w:tc>
          <w:tcPr>
            <w:tcW w:w="1914" w:type="dxa"/>
          </w:tcPr>
          <w:p w:rsidR="00B8773B" w:rsidRPr="005828A1" w:rsidRDefault="0046213B" w:rsidP="002867A4">
            <w:pPr>
              <w:pStyle w:val="ListParagraph"/>
              <w:ind w:left="0"/>
              <w:jc w:val="right"/>
            </w:pPr>
            <w:r>
              <w:t>5.000.000</w:t>
            </w:r>
          </w:p>
        </w:tc>
        <w:tc>
          <w:tcPr>
            <w:tcW w:w="1915" w:type="dxa"/>
            <w:gridSpan w:val="2"/>
          </w:tcPr>
          <w:p w:rsidR="00B8773B" w:rsidRPr="005828A1" w:rsidRDefault="0046213B" w:rsidP="002867A4">
            <w:pPr>
              <w:pStyle w:val="ListParagraph"/>
              <w:ind w:left="0"/>
              <w:jc w:val="right"/>
            </w:pPr>
            <w:r>
              <w:t>5.000.000</w:t>
            </w:r>
          </w:p>
        </w:tc>
      </w:tr>
      <w:tr w:rsidR="00B8773B" w:rsidTr="002867A4">
        <w:tc>
          <w:tcPr>
            <w:tcW w:w="958" w:type="dxa"/>
          </w:tcPr>
          <w:p w:rsidR="00B8773B" w:rsidRPr="00A07578" w:rsidRDefault="00B8773B" w:rsidP="002867A4">
            <w:pPr>
              <w:pStyle w:val="ListParagraph"/>
              <w:ind w:left="0"/>
            </w:pPr>
          </w:p>
        </w:tc>
        <w:tc>
          <w:tcPr>
            <w:tcW w:w="2870" w:type="dxa"/>
          </w:tcPr>
          <w:p w:rsidR="00B8773B" w:rsidRPr="00B8773B" w:rsidRDefault="00B8773B" w:rsidP="002867A4">
            <w:pPr>
              <w:pStyle w:val="ListParagraph"/>
              <w:ind w:left="0"/>
            </w:pPr>
            <w:r>
              <w:t>Спорски центар Сталаћ-Град Сталаћ</w:t>
            </w:r>
          </w:p>
        </w:tc>
        <w:tc>
          <w:tcPr>
            <w:tcW w:w="1919" w:type="dxa"/>
          </w:tcPr>
          <w:p w:rsidR="00B8773B" w:rsidRPr="00B8773B" w:rsidRDefault="00B8773B" w:rsidP="002867A4">
            <w:pPr>
              <w:pStyle w:val="ListParagraph"/>
              <w:ind w:left="0"/>
              <w:jc w:val="right"/>
            </w:pPr>
            <w:r>
              <w:t>1.000.000</w:t>
            </w:r>
          </w:p>
        </w:tc>
        <w:tc>
          <w:tcPr>
            <w:tcW w:w="1914" w:type="dxa"/>
          </w:tcPr>
          <w:p w:rsidR="00B8773B" w:rsidRPr="005828A1" w:rsidRDefault="0046213B" w:rsidP="002867A4">
            <w:pPr>
              <w:pStyle w:val="ListParagraph"/>
              <w:ind w:left="0"/>
              <w:jc w:val="right"/>
            </w:pPr>
            <w:r>
              <w:t>1.000.000</w:t>
            </w:r>
          </w:p>
        </w:tc>
        <w:tc>
          <w:tcPr>
            <w:tcW w:w="1915" w:type="dxa"/>
            <w:gridSpan w:val="2"/>
          </w:tcPr>
          <w:p w:rsidR="00B8773B" w:rsidRPr="005828A1" w:rsidRDefault="0046213B" w:rsidP="002867A4">
            <w:pPr>
              <w:pStyle w:val="ListParagraph"/>
              <w:ind w:left="0"/>
              <w:jc w:val="right"/>
            </w:pPr>
            <w:r>
              <w:t>1.000.000</w:t>
            </w:r>
          </w:p>
        </w:tc>
      </w:tr>
      <w:tr w:rsidR="00B8773B" w:rsidTr="002867A4">
        <w:tc>
          <w:tcPr>
            <w:tcW w:w="958" w:type="dxa"/>
          </w:tcPr>
          <w:p w:rsidR="00B8773B" w:rsidRDefault="00B8773B" w:rsidP="002867A4">
            <w:pPr>
              <w:pStyle w:val="ListParagraph"/>
              <w:ind w:left="0"/>
            </w:pPr>
          </w:p>
        </w:tc>
        <w:tc>
          <w:tcPr>
            <w:tcW w:w="2870" w:type="dxa"/>
          </w:tcPr>
          <w:p w:rsidR="00B8773B" w:rsidRPr="005828A1" w:rsidRDefault="00B8773B" w:rsidP="002867A4">
            <w:pPr>
              <w:pStyle w:val="ListParagraph"/>
              <w:ind w:left="0"/>
            </w:pPr>
            <w:r>
              <w:t>Укупно:</w:t>
            </w:r>
          </w:p>
        </w:tc>
        <w:tc>
          <w:tcPr>
            <w:tcW w:w="1919" w:type="dxa"/>
          </w:tcPr>
          <w:p w:rsidR="00B8773B" w:rsidRPr="00705A5B" w:rsidRDefault="00705A5B" w:rsidP="002867A4">
            <w:pPr>
              <w:pStyle w:val="ListParagraph"/>
              <w:ind w:left="0"/>
              <w:jc w:val="right"/>
            </w:pPr>
            <w:r>
              <w:t>332.000.000</w:t>
            </w:r>
          </w:p>
        </w:tc>
        <w:tc>
          <w:tcPr>
            <w:tcW w:w="1914" w:type="dxa"/>
          </w:tcPr>
          <w:p w:rsidR="00B8773B" w:rsidRPr="0046213B" w:rsidRDefault="0046213B" w:rsidP="002867A4">
            <w:pPr>
              <w:pStyle w:val="ListParagraph"/>
              <w:ind w:left="0"/>
              <w:jc w:val="right"/>
            </w:pPr>
            <w:r>
              <w:t>300.000.000</w:t>
            </w:r>
          </w:p>
        </w:tc>
        <w:tc>
          <w:tcPr>
            <w:tcW w:w="1915" w:type="dxa"/>
            <w:gridSpan w:val="2"/>
          </w:tcPr>
          <w:p w:rsidR="00B8773B" w:rsidRPr="0046213B" w:rsidRDefault="0046213B" w:rsidP="002867A4">
            <w:pPr>
              <w:pStyle w:val="ListParagraph"/>
              <w:ind w:left="0"/>
              <w:jc w:val="right"/>
            </w:pPr>
            <w:r>
              <w:t>300.000.000</w:t>
            </w:r>
          </w:p>
        </w:tc>
      </w:tr>
    </w:tbl>
    <w:p w:rsidR="00B8773B" w:rsidRDefault="00B8773B" w:rsidP="00B66D6D">
      <w:pPr>
        <w:pStyle w:val="ListParagraph"/>
        <w:ind w:left="0" w:firstLine="720"/>
      </w:pPr>
    </w:p>
    <w:p w:rsidR="00B8773B" w:rsidRPr="00B8773B" w:rsidRDefault="00B8773B" w:rsidP="00B66D6D">
      <w:pPr>
        <w:pStyle w:val="ListParagraph"/>
        <w:ind w:left="0" w:firstLine="720"/>
      </w:pPr>
    </w:p>
    <w:p w:rsidR="001A072D" w:rsidRDefault="0070156E" w:rsidP="00B66D6D">
      <w:pPr>
        <w:pStyle w:val="ListParagraph"/>
        <w:ind w:left="0" w:firstLine="720"/>
      </w:pPr>
      <w:r>
        <w:t xml:space="preserve"> Индиректни буџетски корисник може доставити и захтев за додатна средства, при чему наводи програм, програмску активност или пројекат, и детаљно га образлаже директном кориснику у допису уз предлог финансијског плана. </w:t>
      </w:r>
    </w:p>
    <w:p w:rsidR="001A072D" w:rsidRDefault="001A072D" w:rsidP="00B66D6D">
      <w:pPr>
        <w:pStyle w:val="ListParagraph"/>
        <w:ind w:left="0" w:firstLine="720"/>
      </w:pPr>
    </w:p>
    <w:p w:rsidR="001A072D" w:rsidRDefault="0070156E" w:rsidP="00B66D6D">
      <w:pPr>
        <w:pStyle w:val="ListParagraph"/>
        <w:ind w:left="0" w:firstLine="720"/>
        <w:rPr>
          <w:b/>
        </w:rPr>
      </w:pPr>
      <w:r w:rsidRPr="001A072D">
        <w:rPr>
          <w:b/>
        </w:rPr>
        <w:t>V СМЕРНИЦЕ ЗА ПРИПРЕМУ СРЕДЊОРОЧНИХ ПЛАНОВА</w:t>
      </w:r>
    </w:p>
    <w:p w:rsidR="00E75DBD" w:rsidRPr="001A072D" w:rsidRDefault="00E75DBD" w:rsidP="00B66D6D">
      <w:pPr>
        <w:pStyle w:val="ListParagraph"/>
        <w:ind w:left="0" w:firstLine="720"/>
        <w:rPr>
          <w:b/>
        </w:rPr>
      </w:pPr>
    </w:p>
    <w:p w:rsidR="001A072D" w:rsidRDefault="0070156E" w:rsidP="00B66D6D">
      <w:pPr>
        <w:pStyle w:val="ListParagraph"/>
        <w:ind w:left="0" w:firstLine="720"/>
      </w:pPr>
      <w:r>
        <w:t xml:space="preserve"> Према дефиницијама Закона о буџетском систему, средњорочни план је свеобухватни план буџетског корисника који садржи детаљну разраду програма, пројеката и програмских активности за буџетску годину са пројекцијама за наредне две године, према средњорочним циљевима и приоритетима, који служе као основа за израду образложења финансијског плана тог корисника и израђује се у складу са упутством за припрему буџета. Програмска структура корисника буџетских средстава, дефинише индикаторе остварења циљева за трогодишњи период, </w:t>
      </w:r>
      <w:r>
        <w:lastRenderedPageBreak/>
        <w:t xml:space="preserve">и на тај начин интегрише средњорочне циљеве који су дефинисани стратешким и другим планским документима из надлежности буџетског корисника. </w:t>
      </w:r>
    </w:p>
    <w:p w:rsidR="001A072D" w:rsidRDefault="0070156E" w:rsidP="00B66D6D">
      <w:pPr>
        <w:pStyle w:val="ListParagraph"/>
        <w:ind w:left="0" w:firstLine="720"/>
      </w:pPr>
      <w:r>
        <w:t xml:space="preserve">Основна смерница за средњорочно утврђивање циљева који се имплементирају кроз програмски модел буџета дефинисањем трогодишњих мерљивих индикатора, налаже крајње опрезан, приступ, руковођен детаљним анализама и пројекцијама које се морају заснивати и на пажљивом  сагледавању и дефинисању ризика, а како би обавезе које преузимају буџетски корисници биле преузете уз највиши степен фискалне одговорности. </w:t>
      </w:r>
    </w:p>
    <w:p w:rsidR="00CA3040" w:rsidRDefault="00CA3040" w:rsidP="00B66D6D">
      <w:pPr>
        <w:pStyle w:val="ListParagraph"/>
        <w:ind w:left="0" w:firstLine="720"/>
      </w:pPr>
    </w:p>
    <w:p w:rsidR="00CA3040" w:rsidRPr="00CA3040" w:rsidRDefault="00CA3040" w:rsidP="00B66D6D">
      <w:pPr>
        <w:pStyle w:val="ListParagraph"/>
        <w:ind w:left="0" w:firstLine="720"/>
      </w:pPr>
    </w:p>
    <w:p w:rsidR="001A072D" w:rsidRDefault="001A072D" w:rsidP="00B66D6D">
      <w:pPr>
        <w:pStyle w:val="ListParagraph"/>
        <w:ind w:left="0" w:firstLine="720"/>
      </w:pPr>
    </w:p>
    <w:p w:rsidR="001A072D" w:rsidRPr="001A072D" w:rsidRDefault="0070156E" w:rsidP="00B66D6D">
      <w:pPr>
        <w:pStyle w:val="ListParagraph"/>
        <w:ind w:left="0" w:firstLine="720"/>
        <w:rPr>
          <w:b/>
        </w:rPr>
      </w:pPr>
      <w:r w:rsidRPr="001A072D">
        <w:rPr>
          <w:b/>
        </w:rPr>
        <w:t xml:space="preserve">VI ПОСТУПАК И ДИНАМИКА ПРИПРЕМЕ БУЏЕТА ОПШТИНЕ </w:t>
      </w:r>
      <w:r w:rsidR="001A072D" w:rsidRPr="001A072D">
        <w:rPr>
          <w:b/>
        </w:rPr>
        <w:t>ЋИЋЕВАЦ</w:t>
      </w:r>
      <w:r w:rsidRPr="001A072D">
        <w:rPr>
          <w:b/>
        </w:rPr>
        <w:t xml:space="preserve"> И ПРЕДЛОГА ФИНАНСИЈСКИХ ПЛАНОВА КОРИСНИКА СРЕДСТАВА БУЏЕТА ОПШТИНЕ </w:t>
      </w:r>
      <w:r w:rsidR="001A072D" w:rsidRPr="001A072D">
        <w:rPr>
          <w:b/>
        </w:rPr>
        <w:t>ЋИЋЕВАЦ</w:t>
      </w:r>
    </w:p>
    <w:p w:rsidR="001A072D" w:rsidRDefault="001A072D" w:rsidP="00B66D6D">
      <w:pPr>
        <w:pStyle w:val="ListParagraph"/>
        <w:ind w:left="0" w:firstLine="720"/>
      </w:pPr>
    </w:p>
    <w:p w:rsidR="001A072D" w:rsidRDefault="0070156E" w:rsidP="00B66D6D">
      <w:pPr>
        <w:pStyle w:val="ListParagraph"/>
        <w:ind w:left="0" w:firstLine="720"/>
      </w:pPr>
      <w:r>
        <w:t xml:space="preserve"> У складу са чланом 40. Закона о буџетском систему, локални орган управе надлежан за финансије доставља директним корисницима средстава буџета локалне власти упутство за припрему буџета локалне власти.</w:t>
      </w:r>
    </w:p>
    <w:p w:rsidR="001A072D" w:rsidRDefault="0070156E" w:rsidP="00B66D6D">
      <w:pPr>
        <w:pStyle w:val="ListParagraph"/>
        <w:ind w:left="0" w:firstLine="720"/>
      </w:pPr>
      <w:r>
        <w:t xml:space="preserve"> На основу упутства за припрему буџета, корисници буџетских средстава припремају предлог финансијског плана по програмском моделу. </w:t>
      </w:r>
    </w:p>
    <w:p w:rsidR="001A072D" w:rsidRDefault="0070156E" w:rsidP="00B66D6D">
      <w:pPr>
        <w:pStyle w:val="ListParagraph"/>
        <w:ind w:left="0" w:firstLine="720"/>
      </w:pPr>
      <w:r>
        <w:t xml:space="preserve">Предлог финансиског плана буџетског корисника треба да садржи детаљну разраду свих програма, програмских активности и пројеката за наредну годину, са пројекцијама за наредне две године и то у складу са средњорочним циљевима и приоритетима који су утврђени Стратегијом одрживог развоја општине </w:t>
      </w:r>
      <w:r w:rsidR="00E1689E">
        <w:t>Ћићевац</w:t>
      </w:r>
      <w:r>
        <w:t>.</w:t>
      </w:r>
    </w:p>
    <w:p w:rsidR="002F050A" w:rsidRPr="002F050A" w:rsidRDefault="002F050A" w:rsidP="00B66D6D">
      <w:pPr>
        <w:pStyle w:val="ListParagraph"/>
        <w:ind w:left="0" w:firstLine="720"/>
      </w:pPr>
    </w:p>
    <w:p w:rsidR="001A072D" w:rsidRDefault="0070156E" w:rsidP="00B66D6D">
      <w:pPr>
        <w:pStyle w:val="ListParagraph"/>
        <w:ind w:left="0" w:firstLine="720"/>
      </w:pPr>
      <w:r>
        <w:t xml:space="preserve"> Предлог финансијског плана обухвата:</w:t>
      </w:r>
    </w:p>
    <w:p w:rsidR="002F050A" w:rsidRPr="002F050A" w:rsidRDefault="002F050A" w:rsidP="00B66D6D">
      <w:pPr>
        <w:pStyle w:val="ListParagraph"/>
        <w:ind w:left="0" w:firstLine="720"/>
      </w:pPr>
    </w:p>
    <w:p w:rsidR="001A072D" w:rsidRDefault="0070156E" w:rsidP="00F60C7F">
      <w:pPr>
        <w:pStyle w:val="ListParagraph"/>
      </w:pPr>
      <w:r>
        <w:t xml:space="preserve"> 1)</w:t>
      </w:r>
      <w:r w:rsidR="00F60C7F">
        <w:t>приходе и примања ,</w:t>
      </w:r>
      <w:r>
        <w:t xml:space="preserve"> расходе и издатке за трогодишњи период, исказане по буџетској класификацији;</w:t>
      </w:r>
    </w:p>
    <w:p w:rsidR="001A072D" w:rsidRPr="001A072D" w:rsidRDefault="0070156E" w:rsidP="00B66D6D">
      <w:pPr>
        <w:pStyle w:val="ListParagraph"/>
        <w:ind w:left="0" w:firstLine="720"/>
      </w:pPr>
      <w:r>
        <w:t xml:space="preserve"> 2) детаљно писано образложење расхода и изд</w:t>
      </w:r>
      <w:r w:rsidR="001A072D">
        <w:t>атака, као и извора финансирања;</w:t>
      </w:r>
    </w:p>
    <w:p w:rsidR="001A072D" w:rsidRDefault="0070156E" w:rsidP="00B66D6D">
      <w:pPr>
        <w:pStyle w:val="ListParagraph"/>
        <w:ind w:left="0" w:firstLine="720"/>
      </w:pPr>
      <w:r>
        <w:t xml:space="preserve"> 3) родну анализу расхода и издатака;</w:t>
      </w:r>
    </w:p>
    <w:p w:rsidR="00795F5D" w:rsidRPr="002F050A" w:rsidRDefault="0070156E" w:rsidP="00B66D6D">
      <w:pPr>
        <w:pStyle w:val="ListParagraph"/>
        <w:ind w:left="0" w:firstLine="720"/>
      </w:pPr>
      <w:r>
        <w:t xml:space="preserve"> 4) програмске информације </w:t>
      </w:r>
      <w:r w:rsidR="002F050A">
        <w:t>.</w:t>
      </w:r>
    </w:p>
    <w:p w:rsidR="001A072D" w:rsidRDefault="001A072D" w:rsidP="00B66D6D">
      <w:pPr>
        <w:pStyle w:val="ListParagraph"/>
        <w:ind w:left="0" w:firstLine="720"/>
      </w:pPr>
    </w:p>
    <w:p w:rsidR="001A072D" w:rsidRDefault="0070156E" w:rsidP="00B66D6D">
      <w:pPr>
        <w:pStyle w:val="ListParagraph"/>
        <w:ind w:left="0" w:firstLine="720"/>
      </w:pPr>
      <w:r>
        <w:t xml:space="preserve"> Предлог финансијског плана садржи следеће табеле (обрасце): </w:t>
      </w:r>
    </w:p>
    <w:p w:rsidR="00795F5D" w:rsidRPr="00795F5D" w:rsidRDefault="00795F5D" w:rsidP="00B66D6D">
      <w:pPr>
        <w:pStyle w:val="ListParagraph"/>
        <w:ind w:left="0" w:firstLine="720"/>
      </w:pPr>
    </w:p>
    <w:p w:rsidR="001A072D" w:rsidRDefault="0070156E" w:rsidP="00B66D6D">
      <w:pPr>
        <w:pStyle w:val="ListParagraph"/>
        <w:ind w:left="0" w:firstLine="720"/>
      </w:pPr>
      <w:r>
        <w:t xml:space="preserve">1) План </w:t>
      </w:r>
      <w:r w:rsidR="00625DD3">
        <w:t xml:space="preserve">прихода и примања , </w:t>
      </w:r>
      <w:r>
        <w:t xml:space="preserve">расхода и издатака, </w:t>
      </w:r>
    </w:p>
    <w:p w:rsidR="001A072D" w:rsidRDefault="0070156E" w:rsidP="00B66D6D">
      <w:pPr>
        <w:pStyle w:val="ListParagraph"/>
        <w:ind w:left="0" w:firstLine="720"/>
      </w:pPr>
      <w:r>
        <w:t>2) Програмску структуру плана са дефинисаним циљевима и индикаторима,</w:t>
      </w:r>
    </w:p>
    <w:p w:rsidR="001A072D" w:rsidRDefault="0070156E" w:rsidP="00B66D6D">
      <w:pPr>
        <w:pStyle w:val="ListParagraph"/>
        <w:ind w:left="0" w:firstLine="720"/>
      </w:pPr>
      <w:r>
        <w:t xml:space="preserve"> 3) План капиталних улагања и</w:t>
      </w:r>
    </w:p>
    <w:p w:rsidR="001A072D" w:rsidRDefault="0070156E" w:rsidP="00B66D6D">
      <w:pPr>
        <w:pStyle w:val="ListParagraph"/>
        <w:ind w:left="0" w:firstLine="720"/>
      </w:pPr>
      <w:r>
        <w:t xml:space="preserve"> 4) План плата и броја запослених. </w:t>
      </w:r>
    </w:p>
    <w:p w:rsidR="001A072D" w:rsidRDefault="0070156E" w:rsidP="00B66D6D">
      <w:pPr>
        <w:pStyle w:val="ListParagraph"/>
        <w:ind w:left="0" w:firstLine="720"/>
      </w:pPr>
      <w:r>
        <w:t>Као прилог предлога финансијског плана директни корисници буџетских средстава достављају извештај о учинку програма за првих шест месеци текуће године.</w:t>
      </w:r>
    </w:p>
    <w:p w:rsidR="00EE7343" w:rsidRPr="00EE7343" w:rsidRDefault="00EE7343" w:rsidP="00B66D6D">
      <w:pPr>
        <w:pStyle w:val="ListParagraph"/>
        <w:ind w:left="0" w:firstLine="720"/>
      </w:pPr>
    </w:p>
    <w:p w:rsidR="004E014E" w:rsidRDefault="0070156E" w:rsidP="00B66D6D">
      <w:pPr>
        <w:pStyle w:val="ListParagraph"/>
        <w:ind w:left="0" w:firstLine="720"/>
      </w:pPr>
      <w:r>
        <w:t xml:space="preserve"> Буџетски календар општине </w:t>
      </w:r>
      <w:r w:rsidR="001A072D">
        <w:t xml:space="preserve">Ћићевац </w:t>
      </w:r>
      <w:r>
        <w:t xml:space="preserve"> је следећи: </w:t>
      </w:r>
    </w:p>
    <w:p w:rsidR="00EE7343" w:rsidRPr="00EE7343" w:rsidRDefault="00EE7343" w:rsidP="00B66D6D">
      <w:pPr>
        <w:pStyle w:val="ListParagraph"/>
        <w:ind w:left="0" w:firstLine="720"/>
      </w:pPr>
    </w:p>
    <w:p w:rsidR="00B73A55" w:rsidRDefault="0070156E" w:rsidP="00B66D6D">
      <w:pPr>
        <w:pStyle w:val="ListParagraph"/>
        <w:ind w:left="0" w:firstLine="720"/>
      </w:pPr>
      <w:r>
        <w:lastRenderedPageBreak/>
        <w:t xml:space="preserve">1) 1. август </w:t>
      </w:r>
      <w:r w:rsidR="001A072D">
        <w:t>–</w:t>
      </w:r>
      <w:r>
        <w:t xml:space="preserve"> </w:t>
      </w:r>
      <w:r w:rsidR="001A072D">
        <w:t xml:space="preserve">Служба за </w:t>
      </w:r>
      <w:r>
        <w:t xml:space="preserve"> буџет </w:t>
      </w:r>
      <w:r w:rsidR="001A072D">
        <w:t>,</w:t>
      </w:r>
      <w:r>
        <w:t xml:space="preserve"> финансије </w:t>
      </w:r>
      <w:r w:rsidR="001A072D">
        <w:t xml:space="preserve"> и  јавне набавке  </w:t>
      </w:r>
      <w:r>
        <w:t>доставља упутство за припрему нацрта буџета општине;</w:t>
      </w:r>
    </w:p>
    <w:p w:rsidR="00B73A55" w:rsidRDefault="0070156E" w:rsidP="00B66D6D">
      <w:pPr>
        <w:pStyle w:val="ListParagraph"/>
        <w:ind w:left="0" w:firstLine="720"/>
      </w:pPr>
      <w:r>
        <w:t xml:space="preserve"> 2) 20. август – Индиректни корисници средстава буџета општине </w:t>
      </w:r>
      <w:r w:rsidR="00B73A55">
        <w:t xml:space="preserve">Ћићевац </w:t>
      </w:r>
      <w:r>
        <w:t xml:space="preserve"> достављају своје предлоге финансијског плана за 201</w:t>
      </w:r>
      <w:r w:rsidR="00CF4C0F">
        <w:t>9</w:t>
      </w:r>
      <w:r>
        <w:t>. годину и наредне две фискалне године;</w:t>
      </w:r>
    </w:p>
    <w:p w:rsidR="00B73A55" w:rsidRDefault="0070156E" w:rsidP="00B66D6D">
      <w:pPr>
        <w:pStyle w:val="ListParagraph"/>
        <w:ind w:left="0" w:firstLine="720"/>
      </w:pPr>
      <w:r>
        <w:t xml:space="preserve"> 3) 1. септембар - директни корисници средстава буџета општине </w:t>
      </w:r>
      <w:r w:rsidR="00B73A55">
        <w:t>Ћићевац</w:t>
      </w:r>
      <w:r>
        <w:t xml:space="preserve"> достављају своје предлоге финансијског плана за 201</w:t>
      </w:r>
      <w:r w:rsidR="00CF4C0F">
        <w:t>9</w:t>
      </w:r>
      <w:r>
        <w:t>. годину и наредне две фискалне године;</w:t>
      </w:r>
    </w:p>
    <w:p w:rsidR="00B73A55" w:rsidRDefault="0070156E" w:rsidP="00B66D6D">
      <w:pPr>
        <w:pStyle w:val="ListParagraph"/>
        <w:ind w:left="0" w:firstLine="720"/>
      </w:pPr>
      <w:r>
        <w:t xml:space="preserve"> 4) 15. октобар </w:t>
      </w:r>
      <w:r w:rsidR="00795F5D">
        <w:t>–</w:t>
      </w:r>
      <w:r>
        <w:t xml:space="preserve"> Од</w:t>
      </w:r>
      <w:r w:rsidR="00795F5D">
        <w:t>сек за</w:t>
      </w:r>
      <w:r>
        <w:t xml:space="preserve"> буџет и финансије доставља нацрт одлуке о буџету Општинском већу и истовремено упознаје грађане са нацртом Одлуке о буџету;</w:t>
      </w:r>
    </w:p>
    <w:p w:rsidR="00B73A55" w:rsidRDefault="0070156E" w:rsidP="00B66D6D">
      <w:pPr>
        <w:pStyle w:val="ListParagraph"/>
        <w:ind w:left="0" w:firstLine="720"/>
      </w:pPr>
      <w:r>
        <w:t xml:space="preserve"> 5) 1. новембар – Општинско веће општине </w:t>
      </w:r>
      <w:r w:rsidR="00795F5D">
        <w:t>Ћићевац</w:t>
      </w:r>
      <w:r>
        <w:t>, доставља предлог одлуке о буџету Скупштини општине;</w:t>
      </w:r>
    </w:p>
    <w:p w:rsidR="00B73A55" w:rsidRDefault="0070156E" w:rsidP="00B66D6D">
      <w:pPr>
        <w:pStyle w:val="ListParagraph"/>
        <w:ind w:left="0" w:firstLine="720"/>
      </w:pPr>
      <w:r>
        <w:t xml:space="preserve"> 6) 20. децембар - Скупштина општине </w:t>
      </w:r>
      <w:r w:rsidR="00795F5D">
        <w:t>Ћићевац</w:t>
      </w:r>
      <w:r>
        <w:t xml:space="preserve"> доноси одлуку о буџету општине;</w:t>
      </w:r>
    </w:p>
    <w:p w:rsidR="00B73A55" w:rsidRDefault="0070156E" w:rsidP="00B66D6D">
      <w:pPr>
        <w:pStyle w:val="ListParagraph"/>
        <w:ind w:left="0" w:firstLine="720"/>
      </w:pPr>
      <w:r>
        <w:t xml:space="preserve"> 7) 25. децембар </w:t>
      </w:r>
      <w:r w:rsidR="00795F5D">
        <w:t>–</w:t>
      </w:r>
      <w:r>
        <w:t xml:space="preserve"> Од</w:t>
      </w:r>
      <w:r w:rsidR="00795F5D">
        <w:t xml:space="preserve">сек за </w:t>
      </w:r>
      <w:r>
        <w:t xml:space="preserve"> буџет и финансије доставља министру одлуку о буџету општине. </w:t>
      </w:r>
    </w:p>
    <w:p w:rsidR="00B73A55" w:rsidRDefault="00B73A55" w:rsidP="00B66D6D">
      <w:pPr>
        <w:pStyle w:val="ListParagraph"/>
        <w:ind w:left="0" w:firstLine="720"/>
      </w:pPr>
    </w:p>
    <w:p w:rsidR="00EE7343" w:rsidRDefault="00EE7343" w:rsidP="00B66D6D">
      <w:pPr>
        <w:pStyle w:val="ListParagraph"/>
        <w:ind w:left="0" w:firstLine="720"/>
      </w:pPr>
    </w:p>
    <w:p w:rsidR="002F050A" w:rsidRPr="002F050A" w:rsidRDefault="002F050A" w:rsidP="00B66D6D">
      <w:pPr>
        <w:pStyle w:val="ListParagraph"/>
        <w:ind w:left="0" w:firstLine="720"/>
      </w:pPr>
    </w:p>
    <w:p w:rsidR="00B73A55" w:rsidRDefault="0070156E" w:rsidP="00B66D6D">
      <w:pPr>
        <w:pStyle w:val="ListParagraph"/>
        <w:ind w:left="0" w:firstLine="720"/>
        <w:rPr>
          <w:b/>
        </w:rPr>
      </w:pPr>
      <w:r w:rsidRPr="00B73A55">
        <w:rPr>
          <w:b/>
        </w:rPr>
        <w:t>VII НАЧИН НА КОЈИ ЋЕ СЕ У БУЏЕТУ ИСКАЗАТИ РОДНА АНАЛИЗА БУЏЕТА ЛОКАЛНЕ ВЛАСТИ</w:t>
      </w:r>
    </w:p>
    <w:p w:rsidR="00B73A55" w:rsidRDefault="00B73A55" w:rsidP="00B66D6D">
      <w:pPr>
        <w:pStyle w:val="ListParagraph"/>
        <w:ind w:left="0" w:firstLine="720"/>
        <w:rPr>
          <w:b/>
        </w:rPr>
      </w:pPr>
    </w:p>
    <w:p w:rsidR="00EE7343" w:rsidRPr="00EE7343" w:rsidRDefault="00EE7343" w:rsidP="00B66D6D">
      <w:pPr>
        <w:pStyle w:val="ListParagraph"/>
        <w:ind w:left="0" w:firstLine="720"/>
        <w:rPr>
          <w:b/>
        </w:rPr>
      </w:pPr>
    </w:p>
    <w:p w:rsidR="00B73A55" w:rsidRDefault="0070156E" w:rsidP="00B66D6D">
      <w:pPr>
        <w:pStyle w:val="ListParagraph"/>
        <w:ind w:left="0" w:firstLine="720"/>
      </w:pPr>
      <w:r>
        <w:t xml:space="preserve"> У оквиру спровођења реформе јавних финансија започет је процес унапређења програмског модела буџета кроз увођење принципа родно одговорног буџетирања у буџетски процес. </w:t>
      </w:r>
    </w:p>
    <w:p w:rsidR="00B73A55" w:rsidRDefault="0070156E" w:rsidP="00B66D6D">
      <w:pPr>
        <w:pStyle w:val="ListParagraph"/>
        <w:ind w:left="0" w:firstLine="720"/>
      </w:pPr>
      <w:r>
        <w:t xml:space="preserve">Родно одговорно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 </w:t>
      </w:r>
    </w:p>
    <w:p w:rsidR="00B73A55" w:rsidRDefault="0070156E" w:rsidP="00B66D6D">
      <w:pPr>
        <w:pStyle w:val="ListParagraph"/>
        <w:ind w:left="0" w:firstLine="720"/>
      </w:pPr>
      <w:r>
        <w:t xml:space="preserve"> Увођење родно одговорног буџетирања спроводи се поступним укључивањем буџетских корисника. До 2020. године предвиђено је да се заокружи процес постепеног увођења родно одговорног буџетирања за све буџетске кориснике, сходно члану 16. став 1. Закона о изменама и допунама Закона о буџетском систему (Службени гласник РС, број 103/2015) путем плана његовог постепеног увођења.</w:t>
      </w:r>
    </w:p>
    <w:p w:rsidR="00015CC9" w:rsidRPr="00EE7343" w:rsidRDefault="0070156E" w:rsidP="00EE7343">
      <w:pPr>
        <w:pStyle w:val="ListParagraph"/>
        <w:ind w:left="0" w:firstLine="720"/>
        <w:rPr>
          <w:b/>
          <w:color w:val="7F7F7F" w:themeColor="text1" w:themeTint="80"/>
        </w:rPr>
      </w:pPr>
      <w:r>
        <w:t xml:space="preserve"> Родна ком</w:t>
      </w:r>
      <w:r w:rsidR="00CF4C0F">
        <w:t>понента буџета за 2019</w:t>
      </w:r>
      <w:r>
        <w:t xml:space="preserve">. годину дефинисана је Планом поступног увођења родно одговорног буџетирања за кориснике буџетских средстава Општинe </w:t>
      </w:r>
      <w:r w:rsidR="00B73A55">
        <w:t>Ћићевац</w:t>
      </w:r>
      <w:r>
        <w:t>, за 201</w:t>
      </w:r>
      <w:r w:rsidR="00CF4C0F">
        <w:t>9</w:t>
      </w:r>
      <w:r>
        <w:t xml:space="preserve">. </w:t>
      </w:r>
      <w:r w:rsidR="00A50E67">
        <w:t>годину, путем дефинисања следећих  програма</w:t>
      </w:r>
      <w:r w:rsidR="00EE7343">
        <w:rPr>
          <w:b/>
          <w:color w:val="7F7F7F" w:themeColor="text1" w:themeTint="80"/>
        </w:rPr>
        <w:t>:</w:t>
      </w:r>
    </w:p>
    <w:p w:rsidR="00015CC9" w:rsidRPr="002038C5" w:rsidRDefault="00015CC9" w:rsidP="00B66D6D">
      <w:pPr>
        <w:pStyle w:val="ListParagraph"/>
        <w:ind w:left="0" w:firstLine="720"/>
        <w:rPr>
          <w:color w:val="000000" w:themeColor="text1"/>
        </w:rPr>
      </w:pPr>
    </w:p>
    <w:tbl>
      <w:tblPr>
        <w:tblStyle w:val="TableGrid"/>
        <w:tblW w:w="0" w:type="auto"/>
        <w:tblLook w:val="04A0"/>
      </w:tblPr>
      <w:tblGrid>
        <w:gridCol w:w="817"/>
        <w:gridCol w:w="4111"/>
        <w:gridCol w:w="4648"/>
      </w:tblGrid>
      <w:tr w:rsidR="002038C5" w:rsidRPr="002038C5" w:rsidTr="002038C5">
        <w:tc>
          <w:tcPr>
            <w:tcW w:w="817" w:type="dxa"/>
          </w:tcPr>
          <w:p w:rsidR="002038C5" w:rsidRPr="00E5489A" w:rsidRDefault="00E5489A" w:rsidP="00B66D6D">
            <w:pPr>
              <w:pStyle w:val="ListParagraph"/>
              <w:ind w:left="0"/>
              <w:rPr>
                <w:color w:val="000000" w:themeColor="text1"/>
              </w:rPr>
            </w:pPr>
            <w:r>
              <w:rPr>
                <w:color w:val="000000" w:themeColor="text1"/>
              </w:rPr>
              <w:t>Редни број</w:t>
            </w:r>
          </w:p>
        </w:tc>
        <w:tc>
          <w:tcPr>
            <w:tcW w:w="4111" w:type="dxa"/>
          </w:tcPr>
          <w:p w:rsidR="00B438A0" w:rsidRDefault="00B438A0" w:rsidP="00B438A0">
            <w:pPr>
              <w:pStyle w:val="ListParagraph"/>
              <w:ind w:left="0"/>
              <w:jc w:val="center"/>
              <w:rPr>
                <w:color w:val="000000" w:themeColor="text1"/>
              </w:rPr>
            </w:pPr>
          </w:p>
          <w:p w:rsidR="00B438A0" w:rsidRDefault="00B438A0" w:rsidP="00B438A0">
            <w:pPr>
              <w:pStyle w:val="ListParagraph"/>
              <w:ind w:left="0"/>
              <w:jc w:val="center"/>
              <w:rPr>
                <w:color w:val="000000" w:themeColor="text1"/>
              </w:rPr>
            </w:pPr>
          </w:p>
          <w:p w:rsidR="002038C5" w:rsidRPr="00E5489A" w:rsidRDefault="00E5489A" w:rsidP="00B438A0">
            <w:pPr>
              <w:pStyle w:val="ListParagraph"/>
              <w:ind w:left="0"/>
              <w:jc w:val="center"/>
              <w:rPr>
                <w:color w:val="000000" w:themeColor="text1"/>
              </w:rPr>
            </w:pPr>
            <w:r>
              <w:rPr>
                <w:color w:val="000000" w:themeColor="text1"/>
              </w:rPr>
              <w:t>Назив буџетског корисника</w:t>
            </w:r>
          </w:p>
        </w:tc>
        <w:tc>
          <w:tcPr>
            <w:tcW w:w="4648" w:type="dxa"/>
          </w:tcPr>
          <w:p w:rsidR="002038C5" w:rsidRDefault="00E5489A" w:rsidP="00E5489A">
            <w:pPr>
              <w:pStyle w:val="ListParagraph"/>
              <w:ind w:left="0"/>
              <w:jc w:val="center"/>
              <w:rPr>
                <w:color w:val="000000" w:themeColor="text1"/>
              </w:rPr>
            </w:pPr>
            <w:r>
              <w:rPr>
                <w:color w:val="000000" w:themeColor="text1"/>
              </w:rPr>
              <w:t>Назив програма</w:t>
            </w:r>
          </w:p>
          <w:p w:rsidR="00E5489A" w:rsidRDefault="00B438A0" w:rsidP="00E5489A">
            <w:pPr>
              <w:pStyle w:val="ListParagraph"/>
              <w:ind w:left="0"/>
              <w:jc w:val="center"/>
              <w:rPr>
                <w:color w:val="000000" w:themeColor="text1"/>
              </w:rPr>
            </w:pPr>
            <w:r>
              <w:rPr>
                <w:color w:val="000000" w:themeColor="text1"/>
              </w:rPr>
              <w:t>(број и назив програма у складу са униформном програмском структуром буџета ЈЛС утврђеном у 201</w:t>
            </w:r>
            <w:r w:rsidR="00CF4C0F">
              <w:rPr>
                <w:color w:val="000000" w:themeColor="text1"/>
              </w:rPr>
              <w:t>8</w:t>
            </w:r>
            <w:r>
              <w:rPr>
                <w:color w:val="000000" w:themeColor="text1"/>
              </w:rPr>
              <w:t>. години)</w:t>
            </w:r>
          </w:p>
          <w:p w:rsidR="00E5489A" w:rsidRPr="00E5489A" w:rsidRDefault="00E5489A" w:rsidP="00E5489A">
            <w:pPr>
              <w:pStyle w:val="ListParagraph"/>
              <w:ind w:left="-5212" w:firstLine="426"/>
              <w:jc w:val="center"/>
              <w:rPr>
                <w:color w:val="000000" w:themeColor="text1"/>
              </w:rPr>
            </w:pPr>
          </w:p>
        </w:tc>
      </w:tr>
      <w:tr w:rsidR="002038C5" w:rsidRPr="002038C5" w:rsidTr="002038C5">
        <w:tc>
          <w:tcPr>
            <w:tcW w:w="817" w:type="dxa"/>
          </w:tcPr>
          <w:p w:rsidR="002038C5" w:rsidRPr="002038C5" w:rsidRDefault="002038C5" w:rsidP="00B66D6D">
            <w:pPr>
              <w:pStyle w:val="ListParagraph"/>
              <w:ind w:left="0"/>
              <w:rPr>
                <w:color w:val="000000" w:themeColor="text1"/>
              </w:rPr>
            </w:pPr>
            <w:r w:rsidRPr="002038C5">
              <w:rPr>
                <w:color w:val="000000" w:themeColor="text1"/>
              </w:rPr>
              <w:t>1.</w:t>
            </w:r>
          </w:p>
        </w:tc>
        <w:tc>
          <w:tcPr>
            <w:tcW w:w="4111" w:type="dxa"/>
          </w:tcPr>
          <w:p w:rsidR="00E5489A" w:rsidRPr="00E5489A" w:rsidRDefault="00E5489A" w:rsidP="00B66D6D">
            <w:pPr>
              <w:pStyle w:val="ListParagraph"/>
              <w:ind w:left="0"/>
              <w:rPr>
                <w:color w:val="000000" w:themeColor="text1"/>
              </w:rPr>
            </w:pPr>
            <w:r>
              <w:rPr>
                <w:color w:val="000000" w:themeColor="text1"/>
              </w:rPr>
              <w:t>Општинска управа</w:t>
            </w:r>
          </w:p>
        </w:tc>
        <w:tc>
          <w:tcPr>
            <w:tcW w:w="4648" w:type="dxa"/>
          </w:tcPr>
          <w:p w:rsidR="002038C5" w:rsidRPr="00B438A0" w:rsidRDefault="00B438A0" w:rsidP="00CF4C0F">
            <w:pPr>
              <w:pStyle w:val="ListParagraph"/>
              <w:ind w:left="0"/>
              <w:rPr>
                <w:color w:val="000000" w:themeColor="text1"/>
              </w:rPr>
            </w:pPr>
            <w:r>
              <w:rPr>
                <w:color w:val="000000" w:themeColor="text1"/>
              </w:rPr>
              <w:t xml:space="preserve">Програм 3 – </w:t>
            </w:r>
            <w:r w:rsidR="00CF4C0F">
              <w:rPr>
                <w:color w:val="000000" w:themeColor="text1"/>
              </w:rPr>
              <w:t>Л</w:t>
            </w:r>
            <w:r>
              <w:rPr>
                <w:color w:val="000000" w:themeColor="text1"/>
              </w:rPr>
              <w:t>окални економски развој</w:t>
            </w:r>
          </w:p>
        </w:tc>
      </w:tr>
      <w:tr w:rsidR="002038C5" w:rsidRPr="002038C5" w:rsidTr="002038C5">
        <w:tc>
          <w:tcPr>
            <w:tcW w:w="817" w:type="dxa"/>
          </w:tcPr>
          <w:p w:rsidR="002038C5" w:rsidRPr="002038C5" w:rsidRDefault="002038C5" w:rsidP="00B66D6D">
            <w:pPr>
              <w:pStyle w:val="ListParagraph"/>
              <w:ind w:left="0"/>
              <w:rPr>
                <w:color w:val="000000" w:themeColor="text1"/>
              </w:rPr>
            </w:pPr>
            <w:r w:rsidRPr="002038C5">
              <w:rPr>
                <w:color w:val="000000" w:themeColor="text1"/>
              </w:rPr>
              <w:t>2.</w:t>
            </w:r>
          </w:p>
        </w:tc>
        <w:tc>
          <w:tcPr>
            <w:tcW w:w="4111" w:type="dxa"/>
          </w:tcPr>
          <w:p w:rsidR="002038C5" w:rsidRPr="00E5489A" w:rsidRDefault="00E5489A" w:rsidP="00B66D6D">
            <w:pPr>
              <w:pStyle w:val="ListParagraph"/>
              <w:ind w:left="0"/>
              <w:rPr>
                <w:color w:val="000000" w:themeColor="text1"/>
              </w:rPr>
            </w:pPr>
            <w:r>
              <w:rPr>
                <w:color w:val="000000" w:themeColor="text1"/>
              </w:rPr>
              <w:t>Општинска управа</w:t>
            </w:r>
          </w:p>
        </w:tc>
        <w:tc>
          <w:tcPr>
            <w:tcW w:w="4648" w:type="dxa"/>
          </w:tcPr>
          <w:p w:rsidR="002038C5" w:rsidRPr="00B438A0" w:rsidRDefault="00B438A0" w:rsidP="00B66D6D">
            <w:pPr>
              <w:pStyle w:val="ListParagraph"/>
              <w:ind w:left="0"/>
              <w:rPr>
                <w:color w:val="000000" w:themeColor="text1"/>
              </w:rPr>
            </w:pPr>
            <w:r>
              <w:rPr>
                <w:color w:val="000000" w:themeColor="text1"/>
              </w:rPr>
              <w:t>Програм 11 – Социјална и дечја заштита</w:t>
            </w:r>
          </w:p>
        </w:tc>
      </w:tr>
      <w:tr w:rsidR="002038C5" w:rsidRPr="002038C5" w:rsidTr="002038C5">
        <w:tc>
          <w:tcPr>
            <w:tcW w:w="817" w:type="dxa"/>
          </w:tcPr>
          <w:p w:rsidR="002038C5" w:rsidRPr="002038C5" w:rsidRDefault="002038C5" w:rsidP="00B66D6D">
            <w:pPr>
              <w:pStyle w:val="ListParagraph"/>
              <w:ind w:left="0"/>
              <w:rPr>
                <w:color w:val="000000" w:themeColor="text1"/>
              </w:rPr>
            </w:pPr>
            <w:r w:rsidRPr="002038C5">
              <w:rPr>
                <w:color w:val="000000" w:themeColor="text1"/>
              </w:rPr>
              <w:lastRenderedPageBreak/>
              <w:t>3.</w:t>
            </w:r>
          </w:p>
        </w:tc>
        <w:tc>
          <w:tcPr>
            <w:tcW w:w="4111" w:type="dxa"/>
          </w:tcPr>
          <w:p w:rsidR="002038C5" w:rsidRPr="00E5489A" w:rsidRDefault="00E5489A" w:rsidP="00B66D6D">
            <w:pPr>
              <w:pStyle w:val="ListParagraph"/>
              <w:ind w:left="0"/>
              <w:rPr>
                <w:color w:val="000000" w:themeColor="text1"/>
              </w:rPr>
            </w:pPr>
            <w:r>
              <w:rPr>
                <w:color w:val="000000" w:themeColor="text1"/>
              </w:rPr>
              <w:t>Општинска управа</w:t>
            </w:r>
          </w:p>
        </w:tc>
        <w:tc>
          <w:tcPr>
            <w:tcW w:w="4648" w:type="dxa"/>
          </w:tcPr>
          <w:p w:rsidR="002038C5" w:rsidRPr="00B438A0" w:rsidRDefault="00B438A0" w:rsidP="00B66D6D">
            <w:pPr>
              <w:pStyle w:val="ListParagraph"/>
              <w:ind w:left="0"/>
              <w:rPr>
                <w:color w:val="000000" w:themeColor="text1"/>
              </w:rPr>
            </w:pPr>
            <w:r>
              <w:rPr>
                <w:color w:val="000000" w:themeColor="text1"/>
              </w:rPr>
              <w:t>Програм 14 – Развој спорта и омладине</w:t>
            </w:r>
          </w:p>
        </w:tc>
      </w:tr>
    </w:tbl>
    <w:p w:rsidR="00F660AE" w:rsidRPr="00A50E67" w:rsidRDefault="00F660AE" w:rsidP="00A50E67">
      <w:pPr>
        <w:rPr>
          <w:color w:val="FF0000"/>
        </w:rPr>
      </w:pPr>
    </w:p>
    <w:p w:rsidR="00B73A55" w:rsidRDefault="00015CC9" w:rsidP="00B66D6D">
      <w:pPr>
        <w:pStyle w:val="ListParagraph"/>
        <w:ind w:left="0" w:firstLine="720"/>
      </w:pPr>
      <w:r>
        <w:t xml:space="preserve"> </w:t>
      </w:r>
    </w:p>
    <w:p w:rsidR="00B73A55" w:rsidRPr="00B73A55" w:rsidRDefault="0070156E" w:rsidP="00B66D6D">
      <w:pPr>
        <w:pStyle w:val="ListParagraph"/>
        <w:ind w:left="0" w:firstLine="720"/>
        <w:rPr>
          <w:b/>
        </w:rPr>
      </w:pPr>
      <w:r w:rsidRPr="00B73A55">
        <w:rPr>
          <w:b/>
        </w:rPr>
        <w:t xml:space="preserve"> VIII НАЧИН НА КОЈИ ЋЕ СЕ ИСКАЗАТИ ПРОГРАМСКЕ ИНФОРМАЦИЈЕ</w:t>
      </w:r>
    </w:p>
    <w:p w:rsidR="00B73A55" w:rsidRDefault="00B73A55" w:rsidP="00B66D6D">
      <w:pPr>
        <w:pStyle w:val="ListParagraph"/>
        <w:ind w:left="0" w:firstLine="720"/>
      </w:pPr>
    </w:p>
    <w:p w:rsidR="00CD1A16" w:rsidRDefault="0070156E" w:rsidP="00B66D6D">
      <w:pPr>
        <w:pStyle w:val="ListParagraph"/>
        <w:ind w:left="0" w:firstLine="720"/>
      </w:pPr>
      <w:r>
        <w:t xml:space="preserve"> Законом о буџетском систему програмски буџет дефинисан је на следећи начин: ''Програмски део буџета саставни је део посебног дела буџета који садржи програме и активности корисника буџетских средстава, који се спроводе у циљу ефикасног управљања средствима предложеним програмима, а који доприносе остварењу стратешких циљева у складу са економском политиком земље.'' </w:t>
      </w:r>
    </w:p>
    <w:p w:rsidR="00CD1A16" w:rsidRDefault="0070156E" w:rsidP="00B66D6D">
      <w:pPr>
        <w:pStyle w:val="ListParagraph"/>
        <w:ind w:left="0" w:firstLine="720"/>
      </w:pPr>
      <w:r>
        <w:t>Структуру програмског буџета чине три категорије: - Програми, - Програмске активности и - Пројекти.</w:t>
      </w:r>
    </w:p>
    <w:p w:rsidR="00CD1A16" w:rsidRDefault="0070156E" w:rsidP="00B66D6D">
      <w:pPr>
        <w:pStyle w:val="ListParagraph"/>
        <w:ind w:left="0" w:firstLine="720"/>
      </w:pPr>
      <w:r>
        <w:t xml:space="preserve"> Програм је основни елемент програмског буџета.</w:t>
      </w:r>
    </w:p>
    <w:p w:rsidR="00CD1A16" w:rsidRDefault="0070156E" w:rsidP="00B66D6D">
      <w:pPr>
        <w:pStyle w:val="ListParagraph"/>
        <w:ind w:left="0" w:firstLine="720"/>
      </w:pPr>
      <w:r>
        <w:t xml:space="preserve"> Програм представља скуп мера које корисници буџета спроводе у складу са својим кључним надлежностима и утврђеним средњорочним циљевима.</w:t>
      </w:r>
    </w:p>
    <w:p w:rsidR="00CD1A16" w:rsidRDefault="0070156E" w:rsidP="00B66D6D">
      <w:pPr>
        <w:pStyle w:val="ListParagraph"/>
        <w:ind w:left="0" w:firstLine="720"/>
      </w:pPr>
      <w:r>
        <w:t xml:space="preserve"> Програм се састоји од независних, али тесно повезаних компоненти – програмских активности и пројеката.</w:t>
      </w:r>
    </w:p>
    <w:p w:rsidR="00CD1A16" w:rsidRDefault="0070156E" w:rsidP="00B66D6D">
      <w:pPr>
        <w:pStyle w:val="ListParagraph"/>
        <w:ind w:left="0" w:firstLine="720"/>
      </w:pPr>
      <w:r>
        <w:t xml:space="preserve"> Алокација средстава опредељених за програм врши се апропријацијама везаним за програмске активности и пројекте у оквиру програма.</w:t>
      </w:r>
    </w:p>
    <w:p w:rsidR="00CD1A16" w:rsidRDefault="0070156E" w:rsidP="00B66D6D">
      <w:pPr>
        <w:pStyle w:val="ListParagraph"/>
        <w:ind w:left="0" w:firstLine="720"/>
      </w:pPr>
      <w:r>
        <w:t xml:space="preserve"> Програм се утврђује и спроводи од стране једног или више корисника буџета и није временски ограничен.</w:t>
      </w:r>
    </w:p>
    <w:p w:rsidR="00CD1A16" w:rsidRDefault="0070156E" w:rsidP="00B66D6D">
      <w:pPr>
        <w:pStyle w:val="ListParagraph"/>
        <w:ind w:left="0" w:firstLine="720"/>
      </w:pPr>
      <w:r>
        <w:t xml:space="preserve"> Програмска активност је текућа делатност корисника буџета. </w:t>
      </w:r>
    </w:p>
    <w:p w:rsidR="00CD1A16" w:rsidRDefault="0070156E" w:rsidP="00CD1A16">
      <w:pPr>
        <w:pStyle w:val="ListParagraph"/>
      </w:pPr>
      <w:r>
        <w:t xml:space="preserve">Програмска активност се утврђује на основу његове уже дефинисане надлежности. Програмска активност мора бити део програма, спроводи се од стране само једног корисника буџета и није временски ограничена. </w:t>
      </w:r>
    </w:p>
    <w:p w:rsidR="00CD1A16" w:rsidRDefault="0070156E" w:rsidP="00CD1A16">
      <w:pPr>
        <w:pStyle w:val="ListParagraph"/>
        <w:ind w:left="0" w:firstLine="720"/>
      </w:pPr>
      <w:r>
        <w:t xml:space="preserve">Пројекат је временски ограничен пословни подухват корисника средстава буџета чијим спровођењем се постижу циљеви који доприносе постизању циљева програма. </w:t>
      </w:r>
    </w:p>
    <w:p w:rsidR="00CD1A16" w:rsidRDefault="0070156E" w:rsidP="00CD1A16">
      <w:pPr>
        <w:pStyle w:val="ListParagraph"/>
        <w:ind w:left="0" w:firstLine="720"/>
      </w:pPr>
      <w:r>
        <w:t xml:space="preserve"> У буџету локалних самоуправа пројекти нису унапред дефинисани и одређени.</w:t>
      </w:r>
    </w:p>
    <w:p w:rsidR="00CD1A16" w:rsidRDefault="0070156E" w:rsidP="00CD1A16">
      <w:pPr>
        <w:pStyle w:val="ListParagraph"/>
        <w:ind w:left="0" w:firstLine="720"/>
      </w:pPr>
      <w:r>
        <w:t xml:space="preserve"> Пројекти се могу односити на капитална улагања, унапређење процедуре у јавној администрацији, усавршавање државних службеника и намештеника и сличне подухвате.</w:t>
      </w:r>
    </w:p>
    <w:p w:rsidR="00CD1A16" w:rsidRDefault="0070156E" w:rsidP="00CD1A16">
      <w:pPr>
        <w:pStyle w:val="ListParagraph"/>
        <w:ind w:left="0" w:firstLine="720"/>
      </w:pPr>
      <w:r>
        <w:t xml:space="preserve">Такође, пројекти могу представљати краткорочни инструмент утврђене јавне политике. Јединице локалне самоуправе (у даљем тексту: ЈЛС) своју програмску структуру утврђују на основу листе програма и програмских активности униформисаних за све ЈЛС. У тој листи је за програме и програмске активности утврђена њихова шифра, назив, сектор коме припадају и сврха. </w:t>
      </w:r>
    </w:p>
    <w:p w:rsidR="00CD1A16" w:rsidRDefault="0070156E" w:rsidP="00CD1A16">
      <w:pPr>
        <w:pStyle w:val="ListParagraph"/>
        <w:ind w:left="0" w:firstLine="720"/>
      </w:pPr>
      <w:r>
        <w:t>Министарство финансија је у сарадњи са СКГО припремило униформну програмску структуру за ЈЛС која се примењује у изради одлуке о буџету јединица локалне самоуправе и која садржи 17 програма.</w:t>
      </w:r>
    </w:p>
    <w:p w:rsidR="00CD1A16" w:rsidRDefault="0070156E" w:rsidP="00CD1A16">
      <w:pPr>
        <w:pStyle w:val="ListParagraph"/>
        <w:ind w:left="0"/>
      </w:pPr>
      <w:r>
        <w:t xml:space="preserve"> </w:t>
      </w:r>
      <w:r w:rsidR="00CD1A16">
        <w:tab/>
      </w:r>
      <w:r>
        <w:t xml:space="preserve">Министарство финансија је такође у сарадњи са СКГО припремило документ који садржи циљеве програма и програмских активности и листу униформних индикатора који треба у значајној мери да олакша припрему буџета од стране локалних власти и осигура униформност и упоредивост садржине програмских буџета ЈЛС. </w:t>
      </w:r>
    </w:p>
    <w:p w:rsidR="00CD1A16" w:rsidRDefault="0070156E" w:rsidP="00CD1A16">
      <w:pPr>
        <w:pStyle w:val="ListParagraph"/>
        <w:ind w:left="0" w:firstLine="720"/>
      </w:pPr>
      <w:r>
        <w:lastRenderedPageBreak/>
        <w:t>Упутство за припрему програмског буџета, са анексом 5 којим је дефинисана униформна програмска структура за ЈЛС, као и документ који садржи циљеве програма и програмских активности и листа униформних индикатора може се наћи на сајту Министарства финансија (www.mfin.gov.rs), као и на сајту СКГО (</w:t>
      </w:r>
      <w:hyperlink r:id="rId8" w:history="1">
        <w:r w:rsidR="00CD1A16" w:rsidRPr="0058288C">
          <w:rPr>
            <w:rStyle w:val="Hyperlink"/>
          </w:rPr>
          <w:t>www.skgo.org</w:t>
        </w:r>
      </w:hyperlink>
      <w:r>
        <w:t xml:space="preserve">). </w:t>
      </w:r>
    </w:p>
    <w:p w:rsidR="00F53D9F" w:rsidRDefault="00F53D9F" w:rsidP="00CD1A16">
      <w:pPr>
        <w:pStyle w:val="ListParagraph"/>
        <w:ind w:left="0" w:firstLine="720"/>
      </w:pPr>
    </w:p>
    <w:p w:rsidR="00F53D9F" w:rsidRDefault="00F53D9F" w:rsidP="00CD1A16">
      <w:pPr>
        <w:pStyle w:val="ListParagraph"/>
        <w:ind w:left="0" w:firstLine="720"/>
      </w:pPr>
      <w:r>
        <w:t>Напомене везане за попуњавање табела:</w:t>
      </w:r>
    </w:p>
    <w:p w:rsidR="00F53D9F" w:rsidRPr="00624A64" w:rsidRDefault="00F53D9F" w:rsidP="00CD1A16">
      <w:pPr>
        <w:pStyle w:val="ListParagraph"/>
        <w:ind w:left="0" w:firstLine="720"/>
        <w:rPr>
          <w:b/>
        </w:rPr>
      </w:pPr>
      <w:r>
        <w:t>Табеле се достављају у штампаном облику, са печатом и потписом функционера буџетског корисника;</w:t>
      </w:r>
      <w:r w:rsidR="00624A64">
        <w:t xml:space="preserve"> </w:t>
      </w:r>
      <w:r w:rsidR="00624A64" w:rsidRPr="00624A64">
        <w:rPr>
          <w:b/>
        </w:rPr>
        <w:t>Рок за достављање предлога финансијских планова је 14.11.2018.</w:t>
      </w:r>
    </w:p>
    <w:p w:rsidR="00F53D9F" w:rsidRDefault="00F53D9F" w:rsidP="00CD1A16">
      <w:pPr>
        <w:pStyle w:val="ListParagraph"/>
        <w:ind w:left="0" w:firstLine="720"/>
      </w:pPr>
      <w:r>
        <w:t>Износи се уносе у хиљадама динара.</w:t>
      </w:r>
    </w:p>
    <w:p w:rsidR="004E014E" w:rsidRDefault="004E014E" w:rsidP="00CD1A16">
      <w:pPr>
        <w:pStyle w:val="ListParagraph"/>
        <w:ind w:left="0" w:firstLine="720"/>
      </w:pPr>
    </w:p>
    <w:p w:rsidR="004E014E" w:rsidRPr="00252683" w:rsidRDefault="00EF6644" w:rsidP="00EF6644">
      <w:pPr>
        <w:pStyle w:val="NoSpacing"/>
      </w:pPr>
      <w:r>
        <w:t xml:space="preserve">          </w:t>
      </w:r>
      <w:r w:rsidR="004E014E">
        <w:t xml:space="preserve">Шеф Службе </w:t>
      </w:r>
      <w:r>
        <w:t xml:space="preserve">                                                                                                                   </w:t>
      </w:r>
      <w:r w:rsidR="004E014E">
        <w:t>Шеф Одсека</w:t>
      </w:r>
    </w:p>
    <w:p w:rsidR="00252683" w:rsidRDefault="00252683" w:rsidP="00EF6644">
      <w:pPr>
        <w:pStyle w:val="NoSpacing"/>
      </w:pPr>
    </w:p>
    <w:p w:rsidR="004E014E" w:rsidRPr="004E014E" w:rsidRDefault="00EF6644" w:rsidP="00EF6644">
      <w:pPr>
        <w:pStyle w:val="NoSpacing"/>
      </w:pPr>
      <w:r>
        <w:t xml:space="preserve">    Ирена Станојевић                  </w:t>
      </w:r>
      <w:r w:rsidR="004E014E">
        <w:t xml:space="preserve">                                                                                           Невенка Првановић</w:t>
      </w:r>
    </w:p>
    <w:sectPr w:rsidR="004E014E" w:rsidRPr="004E014E" w:rsidSect="00A527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E8" w:rsidRDefault="006224E8" w:rsidP="00817D20">
      <w:pPr>
        <w:pStyle w:val="ListParagraph"/>
        <w:spacing w:after="0" w:line="240" w:lineRule="auto"/>
      </w:pPr>
      <w:r>
        <w:separator/>
      </w:r>
    </w:p>
  </w:endnote>
  <w:endnote w:type="continuationSeparator" w:id="0">
    <w:p w:rsidR="006224E8" w:rsidRDefault="006224E8" w:rsidP="00817D20">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E8" w:rsidRDefault="006224E8" w:rsidP="00817D20">
      <w:pPr>
        <w:pStyle w:val="ListParagraph"/>
        <w:spacing w:after="0" w:line="240" w:lineRule="auto"/>
      </w:pPr>
      <w:r>
        <w:separator/>
      </w:r>
    </w:p>
  </w:footnote>
  <w:footnote w:type="continuationSeparator" w:id="0">
    <w:p w:rsidR="006224E8" w:rsidRDefault="006224E8" w:rsidP="00817D20">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5516"/>
    <w:multiLevelType w:val="hybridMultilevel"/>
    <w:tmpl w:val="F296204A"/>
    <w:lvl w:ilvl="0" w:tplc="6E16C1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C86A3B"/>
    <w:multiLevelType w:val="hybridMultilevel"/>
    <w:tmpl w:val="3392F6DE"/>
    <w:lvl w:ilvl="0" w:tplc="924E1D0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70156E"/>
    <w:rsid w:val="00000455"/>
    <w:rsid w:val="000004E6"/>
    <w:rsid w:val="00003ADD"/>
    <w:rsid w:val="00015CC9"/>
    <w:rsid w:val="00027B9C"/>
    <w:rsid w:val="00076B7B"/>
    <w:rsid w:val="0007700F"/>
    <w:rsid w:val="0008313B"/>
    <w:rsid w:val="000B027C"/>
    <w:rsid w:val="000B47F1"/>
    <w:rsid w:val="000C2043"/>
    <w:rsid w:val="000E2A0E"/>
    <w:rsid w:val="00112116"/>
    <w:rsid w:val="0012242C"/>
    <w:rsid w:val="00130E5F"/>
    <w:rsid w:val="001313EB"/>
    <w:rsid w:val="0015136D"/>
    <w:rsid w:val="00161837"/>
    <w:rsid w:val="00175955"/>
    <w:rsid w:val="001766BD"/>
    <w:rsid w:val="001834F8"/>
    <w:rsid w:val="00196C0F"/>
    <w:rsid w:val="001A072D"/>
    <w:rsid w:val="002038C5"/>
    <w:rsid w:val="002516E2"/>
    <w:rsid w:val="00252683"/>
    <w:rsid w:val="00273132"/>
    <w:rsid w:val="002867A4"/>
    <w:rsid w:val="002F050A"/>
    <w:rsid w:val="00314BA8"/>
    <w:rsid w:val="00320A9E"/>
    <w:rsid w:val="00330C8E"/>
    <w:rsid w:val="00361F0A"/>
    <w:rsid w:val="003842AC"/>
    <w:rsid w:val="003871BB"/>
    <w:rsid w:val="00393015"/>
    <w:rsid w:val="003A1063"/>
    <w:rsid w:val="003C61A5"/>
    <w:rsid w:val="003D14A5"/>
    <w:rsid w:val="003E5920"/>
    <w:rsid w:val="003F391C"/>
    <w:rsid w:val="004126C4"/>
    <w:rsid w:val="00426522"/>
    <w:rsid w:val="00444B7A"/>
    <w:rsid w:val="00454537"/>
    <w:rsid w:val="004562E4"/>
    <w:rsid w:val="0046213B"/>
    <w:rsid w:val="00462985"/>
    <w:rsid w:val="00490026"/>
    <w:rsid w:val="004A36B8"/>
    <w:rsid w:val="004A4FE0"/>
    <w:rsid w:val="004D533D"/>
    <w:rsid w:val="004E014E"/>
    <w:rsid w:val="00503244"/>
    <w:rsid w:val="005104F3"/>
    <w:rsid w:val="00530DD6"/>
    <w:rsid w:val="00536C1C"/>
    <w:rsid w:val="00574913"/>
    <w:rsid w:val="005828A1"/>
    <w:rsid w:val="005A7077"/>
    <w:rsid w:val="005D1965"/>
    <w:rsid w:val="006224E8"/>
    <w:rsid w:val="00624A64"/>
    <w:rsid w:val="00625DD3"/>
    <w:rsid w:val="006575FE"/>
    <w:rsid w:val="00660252"/>
    <w:rsid w:val="006719B9"/>
    <w:rsid w:val="00686815"/>
    <w:rsid w:val="006C4DD7"/>
    <w:rsid w:val="006F344F"/>
    <w:rsid w:val="0070156E"/>
    <w:rsid w:val="00705A5B"/>
    <w:rsid w:val="0071564B"/>
    <w:rsid w:val="00763EAF"/>
    <w:rsid w:val="00780080"/>
    <w:rsid w:val="00793CE7"/>
    <w:rsid w:val="00795F5D"/>
    <w:rsid w:val="007D2E11"/>
    <w:rsid w:val="007E3DE0"/>
    <w:rsid w:val="00817D20"/>
    <w:rsid w:val="0082091A"/>
    <w:rsid w:val="00845376"/>
    <w:rsid w:val="008545A0"/>
    <w:rsid w:val="008C76D1"/>
    <w:rsid w:val="008D5CAF"/>
    <w:rsid w:val="008F2941"/>
    <w:rsid w:val="008F5B6D"/>
    <w:rsid w:val="00904E01"/>
    <w:rsid w:val="009125B2"/>
    <w:rsid w:val="00915A40"/>
    <w:rsid w:val="0092601A"/>
    <w:rsid w:val="00943C4A"/>
    <w:rsid w:val="00951280"/>
    <w:rsid w:val="0096602B"/>
    <w:rsid w:val="009703B2"/>
    <w:rsid w:val="009D568F"/>
    <w:rsid w:val="009D6B11"/>
    <w:rsid w:val="009E6769"/>
    <w:rsid w:val="00A07578"/>
    <w:rsid w:val="00A15254"/>
    <w:rsid w:val="00A21A4E"/>
    <w:rsid w:val="00A46CAB"/>
    <w:rsid w:val="00A50E67"/>
    <w:rsid w:val="00A52318"/>
    <w:rsid w:val="00A52780"/>
    <w:rsid w:val="00A76B5E"/>
    <w:rsid w:val="00A82370"/>
    <w:rsid w:val="00A91F0A"/>
    <w:rsid w:val="00A92E68"/>
    <w:rsid w:val="00AA66ED"/>
    <w:rsid w:val="00AD185C"/>
    <w:rsid w:val="00AF2E92"/>
    <w:rsid w:val="00B02204"/>
    <w:rsid w:val="00B438A0"/>
    <w:rsid w:val="00B5080B"/>
    <w:rsid w:val="00B566B9"/>
    <w:rsid w:val="00B66D6D"/>
    <w:rsid w:val="00B73A55"/>
    <w:rsid w:val="00B8773B"/>
    <w:rsid w:val="00BB4BF2"/>
    <w:rsid w:val="00C144DD"/>
    <w:rsid w:val="00C22727"/>
    <w:rsid w:val="00C26C38"/>
    <w:rsid w:val="00C348D4"/>
    <w:rsid w:val="00C438D9"/>
    <w:rsid w:val="00C666A0"/>
    <w:rsid w:val="00C81D8A"/>
    <w:rsid w:val="00CA3040"/>
    <w:rsid w:val="00CA760D"/>
    <w:rsid w:val="00CC0A91"/>
    <w:rsid w:val="00CD1A16"/>
    <w:rsid w:val="00CF47FF"/>
    <w:rsid w:val="00CF4C0F"/>
    <w:rsid w:val="00D2079B"/>
    <w:rsid w:val="00D33B6E"/>
    <w:rsid w:val="00D777EA"/>
    <w:rsid w:val="00D80BF8"/>
    <w:rsid w:val="00D82AF5"/>
    <w:rsid w:val="00D93365"/>
    <w:rsid w:val="00DD39E0"/>
    <w:rsid w:val="00DE0B24"/>
    <w:rsid w:val="00DF3C19"/>
    <w:rsid w:val="00E1541D"/>
    <w:rsid w:val="00E1689E"/>
    <w:rsid w:val="00E5489A"/>
    <w:rsid w:val="00E5543B"/>
    <w:rsid w:val="00E60D28"/>
    <w:rsid w:val="00E613D3"/>
    <w:rsid w:val="00E75DBD"/>
    <w:rsid w:val="00E85D6A"/>
    <w:rsid w:val="00E86C40"/>
    <w:rsid w:val="00EA0AF7"/>
    <w:rsid w:val="00EB3485"/>
    <w:rsid w:val="00EC1437"/>
    <w:rsid w:val="00EC729D"/>
    <w:rsid w:val="00EE6B7C"/>
    <w:rsid w:val="00EE7343"/>
    <w:rsid w:val="00EF6644"/>
    <w:rsid w:val="00F053CF"/>
    <w:rsid w:val="00F16C1D"/>
    <w:rsid w:val="00F20FD5"/>
    <w:rsid w:val="00F224A9"/>
    <w:rsid w:val="00F23FD9"/>
    <w:rsid w:val="00F3228C"/>
    <w:rsid w:val="00F47FF3"/>
    <w:rsid w:val="00F53D9F"/>
    <w:rsid w:val="00F60C7F"/>
    <w:rsid w:val="00F611B8"/>
    <w:rsid w:val="00F660AE"/>
    <w:rsid w:val="00F749F4"/>
    <w:rsid w:val="00F75491"/>
    <w:rsid w:val="00F75A10"/>
    <w:rsid w:val="00F84683"/>
    <w:rsid w:val="00FB548C"/>
    <w:rsid w:val="00FD09F1"/>
    <w:rsid w:val="00FE775D"/>
    <w:rsid w:val="00FE7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7FF3"/>
    <w:pPr>
      <w:spacing w:after="0" w:line="240" w:lineRule="auto"/>
    </w:pPr>
  </w:style>
  <w:style w:type="paragraph" w:styleId="ListParagraph">
    <w:name w:val="List Paragraph"/>
    <w:basedOn w:val="Normal"/>
    <w:uiPriority w:val="34"/>
    <w:qFormat/>
    <w:rsid w:val="008F2941"/>
    <w:pPr>
      <w:ind w:left="720"/>
      <w:contextualSpacing/>
    </w:pPr>
  </w:style>
  <w:style w:type="table" w:styleId="TableGrid">
    <w:name w:val="Table Grid"/>
    <w:basedOn w:val="TableNormal"/>
    <w:uiPriority w:val="59"/>
    <w:rsid w:val="00817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7D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D20"/>
  </w:style>
  <w:style w:type="paragraph" w:styleId="Footer">
    <w:name w:val="footer"/>
    <w:basedOn w:val="Normal"/>
    <w:link w:val="FooterChar"/>
    <w:uiPriority w:val="99"/>
    <w:semiHidden/>
    <w:unhideWhenUsed/>
    <w:rsid w:val="00817D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D20"/>
  </w:style>
  <w:style w:type="character" w:styleId="Hyperlink">
    <w:name w:val="Hyperlink"/>
    <w:basedOn w:val="DefaultParagraphFont"/>
    <w:uiPriority w:val="99"/>
    <w:unhideWhenUsed/>
    <w:rsid w:val="00CD1A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g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D92A-45A6-45CF-94FF-1EC6417A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istanoje</dc:creator>
  <cp:lastModifiedBy>s</cp:lastModifiedBy>
  <cp:revision>2</cp:revision>
  <cp:lastPrinted>2017-09-29T10:08:00Z</cp:lastPrinted>
  <dcterms:created xsi:type="dcterms:W3CDTF">2018-11-08T07:02:00Z</dcterms:created>
  <dcterms:modified xsi:type="dcterms:W3CDTF">2018-11-08T07:02:00Z</dcterms:modified>
</cp:coreProperties>
</file>