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FF3" w:rsidRPr="00F47FF3" w:rsidRDefault="0070156E" w:rsidP="00F47FF3">
      <w:pPr>
        <w:pStyle w:val="NoSpacing"/>
      </w:pPr>
      <w:r w:rsidRPr="00F47FF3">
        <w:t>Република Србија</w:t>
      </w:r>
    </w:p>
    <w:p w:rsidR="00F47FF3" w:rsidRPr="00F47FF3" w:rsidRDefault="0070156E" w:rsidP="00F47FF3">
      <w:pPr>
        <w:pStyle w:val="NoSpacing"/>
      </w:pPr>
      <w:r w:rsidRPr="00F47FF3">
        <w:t xml:space="preserve">Општина </w:t>
      </w:r>
      <w:r w:rsidR="00F47FF3" w:rsidRPr="00F47FF3">
        <w:t>Ћићевац</w:t>
      </w:r>
    </w:p>
    <w:p w:rsidR="00F47FF3" w:rsidRPr="00F47FF3" w:rsidRDefault="0070156E" w:rsidP="00F47FF3">
      <w:pPr>
        <w:pStyle w:val="NoSpacing"/>
      </w:pPr>
      <w:r w:rsidRPr="00F47FF3">
        <w:t>ОД</w:t>
      </w:r>
      <w:r w:rsidR="00F47FF3" w:rsidRPr="00F47FF3">
        <w:t xml:space="preserve">СЕК </w:t>
      </w:r>
      <w:r w:rsidRPr="00F47FF3">
        <w:t xml:space="preserve"> ЗА БУЏЕТ, ФИНАНСИЈЕ </w:t>
      </w:r>
      <w:r w:rsidR="00F47FF3" w:rsidRPr="00F47FF3">
        <w:t xml:space="preserve">, ЈАВНЕ НАБАВКЕ </w:t>
      </w:r>
    </w:p>
    <w:p w:rsidR="00F47FF3" w:rsidRPr="00F47FF3" w:rsidRDefault="00F47FF3" w:rsidP="00F47FF3">
      <w:pPr>
        <w:pStyle w:val="NoSpacing"/>
      </w:pPr>
      <w:r w:rsidRPr="00F47FF3">
        <w:t>И КОМУНАЛНО ИНСПЕКЦИЈСКЕ ПОСЛОВЕ</w:t>
      </w:r>
    </w:p>
    <w:p w:rsidR="00F47FF3" w:rsidRPr="00F47FF3" w:rsidRDefault="0070156E" w:rsidP="00F47FF3">
      <w:pPr>
        <w:pStyle w:val="NoSpacing"/>
      </w:pPr>
      <w:r w:rsidRPr="00F47FF3">
        <w:t xml:space="preserve"> Број: </w:t>
      </w:r>
      <w:r w:rsidR="00F47FF3" w:rsidRPr="00F47FF3">
        <w:t>400-3</w:t>
      </w:r>
      <w:r w:rsidR="002516E2">
        <w:t>4</w:t>
      </w:r>
      <w:r w:rsidR="00F47FF3" w:rsidRPr="00F47FF3">
        <w:t>/1</w:t>
      </w:r>
      <w:r w:rsidR="002516E2">
        <w:t>8</w:t>
      </w:r>
      <w:r w:rsidR="00F47FF3" w:rsidRPr="00F47FF3">
        <w:t>-04</w:t>
      </w:r>
    </w:p>
    <w:p w:rsidR="00F47FF3" w:rsidRPr="00F47FF3" w:rsidRDefault="0070156E" w:rsidP="00F47FF3">
      <w:pPr>
        <w:pStyle w:val="NoSpacing"/>
      </w:pPr>
      <w:r w:rsidRPr="00F47FF3">
        <w:t xml:space="preserve"> Дана: </w:t>
      </w:r>
      <w:r w:rsidR="002516E2">
        <w:t>01</w:t>
      </w:r>
      <w:r w:rsidRPr="00F47FF3">
        <w:t>.0</w:t>
      </w:r>
      <w:r w:rsidR="002516E2">
        <w:t>8</w:t>
      </w:r>
      <w:r w:rsidRPr="00F47FF3">
        <w:t>.201</w:t>
      </w:r>
      <w:r w:rsidR="002516E2">
        <w:t>8</w:t>
      </w:r>
      <w:r w:rsidRPr="00F47FF3">
        <w:t xml:space="preserve">. године </w:t>
      </w:r>
    </w:p>
    <w:p w:rsidR="00F47FF3" w:rsidRPr="00F47FF3" w:rsidRDefault="00F47FF3" w:rsidP="00F47FF3">
      <w:pPr>
        <w:pStyle w:val="NoSpacing"/>
      </w:pPr>
      <w:r>
        <w:t xml:space="preserve"> </w:t>
      </w:r>
      <w:r w:rsidRPr="00F47FF3">
        <w:t xml:space="preserve">Ћ И Ћ Е В А Ц </w:t>
      </w:r>
    </w:p>
    <w:p w:rsidR="00F47FF3" w:rsidRDefault="00F47FF3" w:rsidP="00F47FF3">
      <w:pPr>
        <w:pStyle w:val="NoSpacing"/>
      </w:pPr>
    </w:p>
    <w:p w:rsidR="00F47FF3" w:rsidRPr="00F47FF3" w:rsidRDefault="00F47FF3" w:rsidP="00F47FF3">
      <w:pPr>
        <w:pStyle w:val="NoSpacing"/>
      </w:pPr>
    </w:p>
    <w:p w:rsidR="00DD39E0" w:rsidRPr="00845376" w:rsidRDefault="0070156E" w:rsidP="00DD39E0">
      <w:pPr>
        <w:jc w:val="center"/>
        <w:rPr>
          <w:b/>
        </w:rPr>
      </w:pPr>
      <w:r w:rsidRPr="00845376">
        <w:rPr>
          <w:b/>
        </w:rPr>
        <w:t xml:space="preserve">УПУТСТВО ЗА ПРИПРЕМУ </w:t>
      </w:r>
      <w:r w:rsidR="00DD39E0" w:rsidRPr="00845376">
        <w:rPr>
          <w:b/>
        </w:rPr>
        <w:t xml:space="preserve">НАЦРТА </w:t>
      </w:r>
      <w:r w:rsidRPr="00845376">
        <w:rPr>
          <w:b/>
        </w:rPr>
        <w:t xml:space="preserve">БУЏЕТА ОПШТИНЕ </w:t>
      </w:r>
      <w:r w:rsidR="00DD39E0" w:rsidRPr="00845376">
        <w:rPr>
          <w:b/>
        </w:rPr>
        <w:t xml:space="preserve">ЋИЋЕВАЦ </w:t>
      </w:r>
      <w:r w:rsidRPr="00845376">
        <w:rPr>
          <w:b/>
        </w:rPr>
        <w:t xml:space="preserve"> ЗА 201</w:t>
      </w:r>
      <w:r w:rsidR="002516E2" w:rsidRPr="00845376">
        <w:rPr>
          <w:b/>
        </w:rPr>
        <w:t>9</w:t>
      </w:r>
      <w:r w:rsidRPr="00845376">
        <w:rPr>
          <w:b/>
        </w:rPr>
        <w:t xml:space="preserve">.ГОДИНУ СА </w:t>
      </w:r>
      <w:r w:rsidR="00DD39E0" w:rsidRPr="00845376">
        <w:rPr>
          <w:b/>
        </w:rPr>
        <w:t xml:space="preserve">                  </w:t>
      </w:r>
      <w:r w:rsidR="002516E2" w:rsidRPr="00845376">
        <w:rPr>
          <w:b/>
        </w:rPr>
        <w:t>ПРОЈЕКЦИЈАМА ЗА 2020</w:t>
      </w:r>
      <w:r w:rsidRPr="00845376">
        <w:rPr>
          <w:b/>
        </w:rPr>
        <w:t>. И 202</w:t>
      </w:r>
      <w:r w:rsidR="002516E2" w:rsidRPr="00845376">
        <w:rPr>
          <w:b/>
        </w:rPr>
        <w:t>1</w:t>
      </w:r>
      <w:r w:rsidRPr="00845376">
        <w:rPr>
          <w:b/>
        </w:rPr>
        <w:t>. ГОДИНУ</w:t>
      </w:r>
    </w:p>
    <w:p w:rsidR="00DD39E0" w:rsidRPr="00DD39E0" w:rsidRDefault="00DD39E0"/>
    <w:p w:rsidR="008545A0" w:rsidRDefault="0070156E">
      <w:r>
        <w:t xml:space="preserve"> УВОД </w:t>
      </w:r>
    </w:p>
    <w:p w:rsidR="00462985" w:rsidRPr="00462985" w:rsidRDefault="0070156E" w:rsidP="00462985">
      <w:pPr>
        <w:pStyle w:val="NoSpacing"/>
        <w:ind w:firstLine="720"/>
      </w:pPr>
      <w:r>
        <w:t xml:space="preserve">Чланом 36а. Закона о буџетском систему („Сл. гласник РС“, бр. 54/2009, 73/2010, 101/2010, 101/2011, 93/2012, 62/2013-испр, 108/2013, 142/2014, 68/2015 (др.закон), 103/2015 </w:t>
      </w:r>
      <w:r w:rsidR="002516E2">
        <w:t>,</w:t>
      </w:r>
      <w:r>
        <w:t xml:space="preserve"> 99/2016</w:t>
      </w:r>
      <w:r w:rsidR="002516E2">
        <w:t xml:space="preserve"> и 113/17</w:t>
      </w:r>
      <w:r>
        <w:t>) прописано је да Министарство финансија доставља локалној власти упутство за израду</w:t>
      </w:r>
      <w:r w:rsidR="00462985">
        <w:t xml:space="preserve"> одлуке о буџету локалне власти.</w:t>
      </w:r>
    </w:p>
    <w:p w:rsidR="008545A0" w:rsidRDefault="0070156E" w:rsidP="0015136D">
      <w:pPr>
        <w:pStyle w:val="NoSpacing"/>
        <w:ind w:firstLine="720"/>
      </w:pPr>
      <w:r>
        <w:t xml:space="preserve">Чланом 40. Закона о буџетском систему предвиђено је да локални орган управе надлежан за финансије доставља директним корисницима средстава буџета локалне власти </w:t>
      </w:r>
      <w:r w:rsidR="0071564B">
        <w:t>У</w:t>
      </w:r>
      <w:r>
        <w:t>путство за припрему буџета локалне власти по добијању Фискалне стратегије.</w:t>
      </w:r>
    </w:p>
    <w:p w:rsidR="008F2941" w:rsidRDefault="0070156E" w:rsidP="00462985">
      <w:pPr>
        <w:pStyle w:val="NoSpacing"/>
      </w:pPr>
      <w:r>
        <w:t xml:space="preserve"> </w:t>
      </w:r>
      <w:r w:rsidR="00462985">
        <w:tab/>
      </w:r>
      <w:r w:rsidRPr="00462985">
        <w:t>Крајњи рок, утврђен буџетским календаром, а прописан чланом 31. Закона о буџетском систему за доношење фискалне стратегије за наредни трогодишњи период и упутства за припрему одлуке о б</w:t>
      </w:r>
      <w:r w:rsidR="00503244">
        <w:t>уџету локалне власти је 5. јул, тако да овогодишња припрема локалног буџета почиње  без усвојене Фискалне стратегије за 201</w:t>
      </w:r>
      <w:r w:rsidR="0071564B">
        <w:t>9</w:t>
      </w:r>
      <w:r w:rsidR="00503244">
        <w:t>. годину са пројекцијама за 20</w:t>
      </w:r>
      <w:r w:rsidR="0071564B">
        <w:t>20</w:t>
      </w:r>
      <w:r w:rsidR="00503244">
        <w:t>. и 202</w:t>
      </w:r>
      <w:r w:rsidR="0071564B">
        <w:t>1</w:t>
      </w:r>
      <w:r w:rsidR="00503244">
        <w:t>. годину и Упутства за припрему одлуке о буџету локалних власти за 201</w:t>
      </w:r>
      <w:r w:rsidR="0071564B">
        <w:t>9</w:t>
      </w:r>
      <w:r w:rsidR="00503244">
        <w:t>. годину, зато што Влада Р Србије  и Министарство финансија  нису усвојили и доставили наведена документа у Законом прописаном року.</w:t>
      </w:r>
    </w:p>
    <w:p w:rsidR="0071564B" w:rsidRDefault="0071564B" w:rsidP="00462985">
      <w:pPr>
        <w:pStyle w:val="NoSpacing"/>
      </w:pPr>
      <w:r>
        <w:tab/>
        <w:t xml:space="preserve">Истовремено, Министарство финансија је објавило Упутство за праћење и извештавање о учинку програма (мај 2017.) као и иновирано Упутство за израду Програмског буџета које је ажурирано у априлу </w:t>
      </w:r>
      <w:r w:rsidR="00E1541D">
        <w:t>па затим и у октобру 2017. године , управо имајући у виду потребу детаљног праћења и извештавања о реализацији програма , програмских активности и пројеката.</w:t>
      </w:r>
    </w:p>
    <w:p w:rsidR="008545A0" w:rsidRDefault="0070156E" w:rsidP="00003ADD">
      <w:pPr>
        <w:pStyle w:val="NoSpacing"/>
        <w:ind w:firstLine="720"/>
      </w:pPr>
      <w:r>
        <w:t xml:space="preserve">Имајући у виду напред наведено, у смислу недостатака елемената за поуздано давање смерница, али и чињеницу да је потребно приступити изради буџета Општине </w:t>
      </w:r>
      <w:r w:rsidR="008F2941">
        <w:t xml:space="preserve">Ћићевац </w:t>
      </w:r>
      <w:r>
        <w:t xml:space="preserve"> за 201</w:t>
      </w:r>
      <w:r w:rsidR="00E1541D">
        <w:t>9</w:t>
      </w:r>
      <w:r>
        <w:t>. годину, у циљу његовог доношења до краја ове године, ово Упутство заснива се на следећем:</w:t>
      </w:r>
    </w:p>
    <w:p w:rsidR="008545A0" w:rsidRDefault="0070156E" w:rsidP="00951280">
      <w:pPr>
        <w:pStyle w:val="NoSpacing"/>
        <w:ind w:firstLine="720"/>
      </w:pPr>
      <w:r>
        <w:t xml:space="preserve"> -смерницама и методологији за припрему финансијских планова буџетских корисника садржаних у Упутству за припрему одлуке о буџету локалне власти за 201</w:t>
      </w:r>
      <w:r w:rsidR="00E1541D">
        <w:t>8</w:t>
      </w:r>
      <w:r>
        <w:t>. годину и пројекцији за 201</w:t>
      </w:r>
      <w:r w:rsidR="00E1541D">
        <w:t>9. и 2020</w:t>
      </w:r>
      <w:r>
        <w:t>. годину (у даљем тексту: Упутство за припрему буџета локалне власти), које је донео министар финансија и Фискалној стратегији за 201</w:t>
      </w:r>
      <w:r w:rsidR="00E1541D">
        <w:t>8. годину са пројекцијама за 2019. и 2020</w:t>
      </w:r>
      <w:r>
        <w:t>. годину (''Сл.гласник РС'', број 99/2016);</w:t>
      </w:r>
    </w:p>
    <w:p w:rsidR="008545A0" w:rsidRDefault="0070156E" w:rsidP="00951280">
      <w:pPr>
        <w:pStyle w:val="NoSpacing"/>
        <w:ind w:firstLine="720"/>
      </w:pPr>
      <w:r>
        <w:t xml:space="preserve"> -процени уступљених прихода на досадашњи начин, односно према припадности дела прихода од пореза обвезника чије је седиште односно пребивалиште на територији општине </w:t>
      </w:r>
      <w:r w:rsidR="008545A0">
        <w:t>Ћићевац</w:t>
      </w:r>
      <w:r>
        <w:t>, и процени непореских и других примања према пројекцијама заснованим на остварењу у првих шест месеци ове године;</w:t>
      </w:r>
    </w:p>
    <w:p w:rsidR="00951280" w:rsidRDefault="0070156E" w:rsidP="00951280">
      <w:pPr>
        <w:pStyle w:val="NoSpacing"/>
      </w:pPr>
      <w:r>
        <w:t xml:space="preserve">-елементима за обрачун планиране масе средстава за плате </w:t>
      </w:r>
      <w:r w:rsidR="008F2941">
        <w:t xml:space="preserve">према актуелним прописима. </w:t>
      </w:r>
      <w:r w:rsidR="008545A0">
        <w:t xml:space="preserve"> </w:t>
      </w:r>
    </w:p>
    <w:p w:rsidR="008545A0" w:rsidRDefault="008545A0" w:rsidP="00951280">
      <w:pPr>
        <w:ind w:firstLine="720"/>
      </w:pPr>
      <w:r>
        <w:lastRenderedPageBreak/>
        <w:t xml:space="preserve">Одсек </w:t>
      </w:r>
      <w:r w:rsidR="0070156E">
        <w:t xml:space="preserve"> за буџет, финансије</w:t>
      </w:r>
      <w:r>
        <w:t xml:space="preserve">, јавне набавке и комунално инспекцијске послове </w:t>
      </w:r>
      <w:r w:rsidR="0070156E">
        <w:t xml:space="preserve"> (у даљем тексту: </w:t>
      </w:r>
      <w:r w:rsidR="004562E4">
        <w:t>Одсек</w:t>
      </w:r>
      <w:r w:rsidR="0070156E">
        <w:t xml:space="preserve"> за буџет и финансије) у току припреме нацрта буџета Општине </w:t>
      </w:r>
      <w:r w:rsidR="004562E4">
        <w:t>Ћићевац</w:t>
      </w:r>
      <w:r w:rsidR="0070156E">
        <w:t xml:space="preserve"> за 201</w:t>
      </w:r>
      <w:r w:rsidR="00E1541D">
        <w:t>9</w:t>
      </w:r>
      <w:r w:rsidR="0070156E">
        <w:t xml:space="preserve">. годину, ревидираће елементе овог Упутства у зависности од начина на који буду утврђене за сада непознате смернице, параметри и извори финансирања буџета Општине </w:t>
      </w:r>
      <w:r w:rsidR="004562E4">
        <w:t>Ћићевац</w:t>
      </w:r>
      <w:r w:rsidR="0070156E">
        <w:t>.</w:t>
      </w:r>
    </w:p>
    <w:p w:rsidR="008545A0" w:rsidRPr="00EC1437" w:rsidRDefault="0070156E" w:rsidP="008545A0">
      <w:pPr>
        <w:ind w:left="720"/>
        <w:rPr>
          <w:b/>
        </w:rPr>
      </w:pPr>
      <w:r w:rsidRPr="00EC1437">
        <w:rPr>
          <w:b/>
        </w:rPr>
        <w:t xml:space="preserve"> I ОСНОВНЕ ЕКОНОМСКЕ ПРЕТПОСТАВКЕ И СМЕРНИЦЕ ЗА ПРИПРЕМУ НАЦРТА БУЏЕТА ОПШТИНЕ </w:t>
      </w:r>
      <w:r w:rsidR="00A76B5E" w:rsidRPr="00EC1437">
        <w:rPr>
          <w:b/>
        </w:rPr>
        <w:t>ЋИЋЕВАЦ</w:t>
      </w:r>
      <w:r w:rsidRPr="00EC1437">
        <w:rPr>
          <w:b/>
        </w:rPr>
        <w:t xml:space="preserve"> ЗА 201</w:t>
      </w:r>
      <w:r w:rsidR="008D5CAF">
        <w:rPr>
          <w:b/>
        </w:rPr>
        <w:t>9</w:t>
      </w:r>
      <w:r w:rsidRPr="00EC1437">
        <w:rPr>
          <w:b/>
        </w:rPr>
        <w:t xml:space="preserve">. ГОДИНУ </w:t>
      </w:r>
    </w:p>
    <w:p w:rsidR="008F2941" w:rsidRDefault="0070156E" w:rsidP="009703B2">
      <w:pPr>
        <w:pStyle w:val="NoSpacing"/>
        <w:ind w:firstLine="720"/>
      </w:pPr>
      <w:r>
        <w:t>Основни циљеви економске и фискалне политике Владе Републике Србије у наредном средњорочном периоду су:</w:t>
      </w:r>
    </w:p>
    <w:p w:rsidR="0096602B" w:rsidRPr="0096602B" w:rsidRDefault="0096602B" w:rsidP="009703B2">
      <w:pPr>
        <w:pStyle w:val="NoSpacing"/>
        <w:ind w:firstLine="720"/>
      </w:pPr>
      <w:r>
        <w:t xml:space="preserve">- стратешка оријентација </w:t>
      </w:r>
      <w:r w:rsidR="0015136D">
        <w:t>Р</w:t>
      </w:r>
      <w:r>
        <w:t>епублике Србије на процес европских интеграција и са тим у вези програм економских реформи који подразумева стварање стабилног економског и монетарног окружења , развој тржишне економије;</w:t>
      </w:r>
    </w:p>
    <w:p w:rsidR="008F2941" w:rsidRDefault="0070156E" w:rsidP="009703B2">
      <w:pPr>
        <w:pStyle w:val="NoSpacing"/>
        <w:ind w:firstLine="720"/>
      </w:pPr>
      <w:r>
        <w:t xml:space="preserve"> </w:t>
      </w:r>
      <w:r w:rsidR="008F2941">
        <w:t>-</w:t>
      </w:r>
      <w:r>
        <w:t xml:space="preserve"> одржавање макроекономске стабилности уз даље смањење јавног дуга и његово враћање у одрживе оквире; </w:t>
      </w:r>
    </w:p>
    <w:p w:rsidR="00F16C1D" w:rsidRDefault="008F2941" w:rsidP="009703B2">
      <w:pPr>
        <w:pStyle w:val="NoSpacing"/>
        <w:ind w:firstLine="720"/>
      </w:pPr>
      <w:r>
        <w:t>-</w:t>
      </w:r>
      <w:r w:rsidR="0070156E">
        <w:t xml:space="preserve"> наставак примене структурних реформи, посебно у домену јавних предузећа, као и подизање ефикасности јавног сектора. </w:t>
      </w:r>
    </w:p>
    <w:p w:rsidR="0096602B" w:rsidRPr="0096602B" w:rsidRDefault="0096602B" w:rsidP="009703B2">
      <w:pPr>
        <w:pStyle w:val="NoSpacing"/>
        <w:ind w:firstLine="720"/>
      </w:pPr>
      <w:r>
        <w:t>Захваљујући мерама фискалне консолидације створен је простор за повећање капиталних инвестиција и повећање пензија и плата у једном делу јавног сектора .</w:t>
      </w:r>
    </w:p>
    <w:p w:rsidR="00F16C1D" w:rsidRDefault="0070156E" w:rsidP="00CC0A91">
      <w:pPr>
        <w:ind w:firstLine="720"/>
      </w:pPr>
      <w:r>
        <w:t xml:space="preserve">Основне макроекономске претпоставке за период 2017 – 2020. године дате су у следећој табели: </w:t>
      </w:r>
    </w:p>
    <w:p w:rsidR="008F2941" w:rsidRPr="00CC0A91" w:rsidRDefault="0070156E" w:rsidP="008F2941">
      <w:pPr>
        <w:ind w:left="720"/>
        <w:rPr>
          <w:b/>
        </w:rPr>
      </w:pPr>
      <w:r w:rsidRPr="00CC0A91">
        <w:rPr>
          <w:b/>
        </w:rPr>
        <w:t xml:space="preserve">Табела 1: Пројекција основних макроекономских показатеља Републике Србије </w:t>
      </w:r>
    </w:p>
    <w:tbl>
      <w:tblPr>
        <w:tblStyle w:val="TableGrid"/>
        <w:tblW w:w="9169" w:type="dxa"/>
        <w:tblInd w:w="720" w:type="dxa"/>
        <w:tblLook w:val="04A0"/>
      </w:tblPr>
      <w:tblGrid>
        <w:gridCol w:w="4066"/>
        <w:gridCol w:w="1275"/>
        <w:gridCol w:w="1276"/>
        <w:gridCol w:w="1276"/>
        <w:gridCol w:w="1276"/>
      </w:tblGrid>
      <w:tr w:rsidR="00817D20" w:rsidTr="00817D20">
        <w:tc>
          <w:tcPr>
            <w:tcW w:w="4066" w:type="dxa"/>
          </w:tcPr>
          <w:p w:rsidR="00817D20" w:rsidRPr="00DE0B24" w:rsidRDefault="006C4DD7" w:rsidP="008F2941">
            <w:pPr>
              <w:rPr>
                <w:b/>
              </w:rPr>
            </w:pPr>
            <w:r w:rsidRPr="00DE0B24">
              <w:rPr>
                <w:b/>
              </w:rPr>
              <w:t>Исказано у %</w:t>
            </w:r>
          </w:p>
        </w:tc>
        <w:tc>
          <w:tcPr>
            <w:tcW w:w="1275" w:type="dxa"/>
          </w:tcPr>
          <w:p w:rsidR="00817D20" w:rsidRPr="006C4DD7" w:rsidRDefault="006C4DD7" w:rsidP="00DE0B24">
            <w:pPr>
              <w:jc w:val="center"/>
            </w:pPr>
            <w:r>
              <w:t>2017</w:t>
            </w:r>
          </w:p>
        </w:tc>
        <w:tc>
          <w:tcPr>
            <w:tcW w:w="1276" w:type="dxa"/>
          </w:tcPr>
          <w:p w:rsidR="00817D20" w:rsidRPr="006C4DD7" w:rsidRDefault="006C4DD7" w:rsidP="00DE0B24">
            <w:pPr>
              <w:jc w:val="center"/>
            </w:pPr>
            <w:r>
              <w:t>2018</w:t>
            </w:r>
          </w:p>
        </w:tc>
        <w:tc>
          <w:tcPr>
            <w:tcW w:w="1276" w:type="dxa"/>
          </w:tcPr>
          <w:p w:rsidR="00817D20" w:rsidRPr="006C4DD7" w:rsidRDefault="006C4DD7" w:rsidP="00DE0B24">
            <w:pPr>
              <w:jc w:val="center"/>
            </w:pPr>
            <w:r>
              <w:t>2019</w:t>
            </w:r>
          </w:p>
        </w:tc>
        <w:tc>
          <w:tcPr>
            <w:tcW w:w="1276" w:type="dxa"/>
          </w:tcPr>
          <w:p w:rsidR="00817D20" w:rsidRPr="006C4DD7" w:rsidRDefault="006C4DD7" w:rsidP="00DE0B24">
            <w:pPr>
              <w:jc w:val="center"/>
            </w:pPr>
            <w:r>
              <w:t>2020</w:t>
            </w:r>
          </w:p>
        </w:tc>
      </w:tr>
      <w:tr w:rsidR="00817D20" w:rsidTr="00817D20">
        <w:tc>
          <w:tcPr>
            <w:tcW w:w="4066" w:type="dxa"/>
          </w:tcPr>
          <w:p w:rsidR="00817D20" w:rsidRPr="006C4DD7" w:rsidRDefault="006C4DD7" w:rsidP="008F2941">
            <w:r>
              <w:t>Стопа реалног раста БДП</w:t>
            </w:r>
          </w:p>
        </w:tc>
        <w:tc>
          <w:tcPr>
            <w:tcW w:w="1275" w:type="dxa"/>
          </w:tcPr>
          <w:p w:rsidR="00817D20" w:rsidRPr="00DE0B24" w:rsidRDefault="00C144DD" w:rsidP="00DE0B24">
            <w:pPr>
              <w:jc w:val="right"/>
            </w:pPr>
            <w:r>
              <w:t>2</w:t>
            </w:r>
            <w:r w:rsidR="00DE0B24">
              <w:t>,0</w:t>
            </w:r>
          </w:p>
        </w:tc>
        <w:tc>
          <w:tcPr>
            <w:tcW w:w="1276" w:type="dxa"/>
          </w:tcPr>
          <w:p w:rsidR="00817D20" w:rsidRPr="00B566B9" w:rsidRDefault="00B566B9" w:rsidP="00B566B9">
            <w:pPr>
              <w:jc w:val="right"/>
            </w:pPr>
            <w:r>
              <w:t>3,5</w:t>
            </w:r>
          </w:p>
        </w:tc>
        <w:tc>
          <w:tcPr>
            <w:tcW w:w="1276" w:type="dxa"/>
          </w:tcPr>
          <w:p w:rsidR="00817D20" w:rsidRPr="000B47F1" w:rsidRDefault="000B47F1" w:rsidP="000B47F1">
            <w:pPr>
              <w:jc w:val="right"/>
            </w:pPr>
            <w:r>
              <w:t>3,5</w:t>
            </w:r>
          </w:p>
        </w:tc>
        <w:tc>
          <w:tcPr>
            <w:tcW w:w="1276" w:type="dxa"/>
          </w:tcPr>
          <w:p w:rsidR="00817D20" w:rsidRPr="000B47F1" w:rsidRDefault="00C144DD" w:rsidP="000B47F1">
            <w:pPr>
              <w:jc w:val="right"/>
            </w:pPr>
            <w:r>
              <w:t>4,0</w:t>
            </w:r>
          </w:p>
        </w:tc>
      </w:tr>
      <w:tr w:rsidR="00817D20" w:rsidTr="00817D20">
        <w:tc>
          <w:tcPr>
            <w:tcW w:w="4066" w:type="dxa"/>
          </w:tcPr>
          <w:p w:rsidR="00817D20" w:rsidRPr="006C4DD7" w:rsidRDefault="006C4DD7" w:rsidP="008F2941">
            <w:r>
              <w:t>БДП у текућим тржишним ценама (у млрд РСД)</w:t>
            </w:r>
          </w:p>
        </w:tc>
        <w:tc>
          <w:tcPr>
            <w:tcW w:w="1275" w:type="dxa"/>
          </w:tcPr>
          <w:p w:rsidR="00817D20" w:rsidRPr="00DE0B24" w:rsidRDefault="00DE0B24" w:rsidP="00C144DD">
            <w:pPr>
              <w:jc w:val="right"/>
            </w:pPr>
            <w:r>
              <w:t>4</w:t>
            </w:r>
            <w:r w:rsidR="00C144DD">
              <w:t>469</w:t>
            </w:r>
          </w:p>
        </w:tc>
        <w:tc>
          <w:tcPr>
            <w:tcW w:w="1276" w:type="dxa"/>
          </w:tcPr>
          <w:p w:rsidR="00817D20" w:rsidRPr="00B566B9" w:rsidRDefault="00B566B9" w:rsidP="00C144DD">
            <w:pPr>
              <w:jc w:val="right"/>
            </w:pPr>
            <w:r>
              <w:t>4</w:t>
            </w:r>
            <w:r w:rsidR="00C144DD">
              <w:t>755</w:t>
            </w:r>
          </w:p>
        </w:tc>
        <w:tc>
          <w:tcPr>
            <w:tcW w:w="1276" w:type="dxa"/>
          </w:tcPr>
          <w:p w:rsidR="00817D20" w:rsidRPr="000B47F1" w:rsidRDefault="00C144DD" w:rsidP="000B47F1">
            <w:pPr>
              <w:jc w:val="right"/>
            </w:pPr>
            <w:r>
              <w:t>5057</w:t>
            </w:r>
          </w:p>
        </w:tc>
        <w:tc>
          <w:tcPr>
            <w:tcW w:w="1276" w:type="dxa"/>
          </w:tcPr>
          <w:p w:rsidR="00817D20" w:rsidRPr="000B47F1" w:rsidRDefault="00C144DD" w:rsidP="000B47F1">
            <w:pPr>
              <w:jc w:val="right"/>
            </w:pPr>
            <w:r>
              <w:t>5417</w:t>
            </w:r>
          </w:p>
        </w:tc>
      </w:tr>
      <w:tr w:rsidR="00817D20" w:rsidTr="00817D20">
        <w:tc>
          <w:tcPr>
            <w:tcW w:w="4066" w:type="dxa"/>
          </w:tcPr>
          <w:p w:rsidR="00817D20" w:rsidRPr="00DE0B24" w:rsidRDefault="00DE0B24" w:rsidP="008F2941">
            <w:pPr>
              <w:rPr>
                <w:b/>
              </w:rPr>
            </w:pPr>
            <w:r w:rsidRPr="00DE0B24">
              <w:rPr>
                <w:b/>
              </w:rPr>
              <w:t>Реални раст појединих компоненти БДП</w:t>
            </w:r>
          </w:p>
        </w:tc>
        <w:tc>
          <w:tcPr>
            <w:tcW w:w="1275" w:type="dxa"/>
          </w:tcPr>
          <w:p w:rsidR="00817D20" w:rsidRDefault="00817D20" w:rsidP="00DE0B24">
            <w:pPr>
              <w:jc w:val="right"/>
            </w:pPr>
          </w:p>
        </w:tc>
        <w:tc>
          <w:tcPr>
            <w:tcW w:w="1276" w:type="dxa"/>
          </w:tcPr>
          <w:p w:rsidR="00817D20" w:rsidRDefault="00817D20" w:rsidP="00B566B9">
            <w:pPr>
              <w:jc w:val="right"/>
            </w:pPr>
          </w:p>
        </w:tc>
        <w:tc>
          <w:tcPr>
            <w:tcW w:w="1276" w:type="dxa"/>
          </w:tcPr>
          <w:p w:rsidR="00817D20" w:rsidRDefault="00817D20" w:rsidP="000B47F1">
            <w:pPr>
              <w:jc w:val="right"/>
            </w:pPr>
          </w:p>
        </w:tc>
        <w:tc>
          <w:tcPr>
            <w:tcW w:w="1276" w:type="dxa"/>
          </w:tcPr>
          <w:p w:rsidR="00817D20" w:rsidRDefault="00817D20" w:rsidP="000B47F1">
            <w:pPr>
              <w:jc w:val="right"/>
            </w:pPr>
          </w:p>
        </w:tc>
      </w:tr>
      <w:tr w:rsidR="00817D20" w:rsidTr="00817D20">
        <w:tc>
          <w:tcPr>
            <w:tcW w:w="4066" w:type="dxa"/>
          </w:tcPr>
          <w:p w:rsidR="00817D20" w:rsidRPr="00DE0B24" w:rsidRDefault="00DE0B24" w:rsidP="008F2941">
            <w:r>
              <w:t>Лична потрошња</w:t>
            </w:r>
          </w:p>
        </w:tc>
        <w:tc>
          <w:tcPr>
            <w:tcW w:w="1275" w:type="dxa"/>
          </w:tcPr>
          <w:p w:rsidR="00817D20" w:rsidRPr="00DE0B24" w:rsidRDefault="00DE0B24" w:rsidP="00C144DD">
            <w:pPr>
              <w:jc w:val="right"/>
            </w:pPr>
            <w:r>
              <w:t>1,</w:t>
            </w:r>
            <w:r w:rsidR="00C144DD">
              <w:t>8</w:t>
            </w:r>
          </w:p>
        </w:tc>
        <w:tc>
          <w:tcPr>
            <w:tcW w:w="1276" w:type="dxa"/>
          </w:tcPr>
          <w:p w:rsidR="00817D20" w:rsidRPr="00B566B9" w:rsidRDefault="00B566B9" w:rsidP="00C144DD">
            <w:pPr>
              <w:jc w:val="right"/>
            </w:pPr>
            <w:r>
              <w:t>2,</w:t>
            </w:r>
            <w:r w:rsidR="00C144DD">
              <w:t>7</w:t>
            </w:r>
          </w:p>
        </w:tc>
        <w:tc>
          <w:tcPr>
            <w:tcW w:w="1276" w:type="dxa"/>
          </w:tcPr>
          <w:p w:rsidR="00817D20" w:rsidRPr="000B47F1" w:rsidRDefault="00C144DD" w:rsidP="000B47F1">
            <w:pPr>
              <w:jc w:val="right"/>
            </w:pPr>
            <w:r>
              <w:t>3,4</w:t>
            </w:r>
          </w:p>
        </w:tc>
        <w:tc>
          <w:tcPr>
            <w:tcW w:w="1276" w:type="dxa"/>
          </w:tcPr>
          <w:p w:rsidR="00817D20" w:rsidRPr="000B47F1" w:rsidRDefault="00C144DD" w:rsidP="000B47F1">
            <w:pPr>
              <w:jc w:val="right"/>
            </w:pPr>
            <w:r>
              <w:t>3,8</w:t>
            </w:r>
          </w:p>
        </w:tc>
      </w:tr>
      <w:tr w:rsidR="00817D20" w:rsidTr="00817D20">
        <w:tc>
          <w:tcPr>
            <w:tcW w:w="4066" w:type="dxa"/>
          </w:tcPr>
          <w:p w:rsidR="00817D20" w:rsidRPr="00DE0B24" w:rsidRDefault="00DE0B24" w:rsidP="008F2941">
            <w:r>
              <w:t xml:space="preserve">Државна потрошња </w:t>
            </w:r>
          </w:p>
        </w:tc>
        <w:tc>
          <w:tcPr>
            <w:tcW w:w="1275" w:type="dxa"/>
          </w:tcPr>
          <w:p w:rsidR="00817D20" w:rsidRPr="00DE0B24" w:rsidRDefault="00DE0B24" w:rsidP="00DE0B24">
            <w:pPr>
              <w:jc w:val="right"/>
            </w:pPr>
            <w:r>
              <w:t>1,</w:t>
            </w:r>
            <w:r w:rsidR="00130E5F">
              <w:t>4</w:t>
            </w:r>
          </w:p>
        </w:tc>
        <w:tc>
          <w:tcPr>
            <w:tcW w:w="1276" w:type="dxa"/>
          </w:tcPr>
          <w:p w:rsidR="00817D20" w:rsidRPr="00B566B9" w:rsidRDefault="00B566B9" w:rsidP="00130E5F">
            <w:pPr>
              <w:jc w:val="right"/>
            </w:pPr>
            <w:r>
              <w:t>2,</w:t>
            </w:r>
            <w:r w:rsidR="00130E5F">
              <w:t>2</w:t>
            </w:r>
          </w:p>
        </w:tc>
        <w:tc>
          <w:tcPr>
            <w:tcW w:w="1276" w:type="dxa"/>
          </w:tcPr>
          <w:p w:rsidR="00817D20" w:rsidRPr="000B47F1" w:rsidRDefault="00130E5F" w:rsidP="000B47F1">
            <w:pPr>
              <w:jc w:val="right"/>
            </w:pPr>
            <w:r>
              <w:t>1,9</w:t>
            </w:r>
          </w:p>
        </w:tc>
        <w:tc>
          <w:tcPr>
            <w:tcW w:w="1276" w:type="dxa"/>
          </w:tcPr>
          <w:p w:rsidR="00817D20" w:rsidRPr="000B47F1" w:rsidRDefault="000B47F1" w:rsidP="00130E5F">
            <w:pPr>
              <w:jc w:val="right"/>
            </w:pPr>
            <w:r>
              <w:t>2,</w:t>
            </w:r>
            <w:r w:rsidR="00130E5F">
              <w:t>7</w:t>
            </w:r>
          </w:p>
        </w:tc>
      </w:tr>
      <w:tr w:rsidR="00817D20" w:rsidTr="00817D20">
        <w:tc>
          <w:tcPr>
            <w:tcW w:w="4066" w:type="dxa"/>
          </w:tcPr>
          <w:p w:rsidR="00817D20" w:rsidRPr="00130E5F" w:rsidRDefault="00130E5F" w:rsidP="008F2941">
            <w:r>
              <w:t>Бруто инвестиције у основне фондове</w:t>
            </w:r>
          </w:p>
        </w:tc>
        <w:tc>
          <w:tcPr>
            <w:tcW w:w="1275" w:type="dxa"/>
          </w:tcPr>
          <w:p w:rsidR="00817D20" w:rsidRPr="00130E5F" w:rsidRDefault="00130E5F" w:rsidP="00DE0B24">
            <w:pPr>
              <w:jc w:val="right"/>
            </w:pPr>
            <w:r>
              <w:t>4,3</w:t>
            </w:r>
          </w:p>
        </w:tc>
        <w:tc>
          <w:tcPr>
            <w:tcW w:w="1276" w:type="dxa"/>
          </w:tcPr>
          <w:p w:rsidR="00817D20" w:rsidRPr="00130E5F" w:rsidRDefault="00130E5F" w:rsidP="00B566B9">
            <w:pPr>
              <w:jc w:val="right"/>
            </w:pPr>
            <w:r>
              <w:t>5,1</w:t>
            </w:r>
          </w:p>
        </w:tc>
        <w:tc>
          <w:tcPr>
            <w:tcW w:w="1276" w:type="dxa"/>
          </w:tcPr>
          <w:p w:rsidR="00817D20" w:rsidRPr="00130E5F" w:rsidRDefault="00130E5F" w:rsidP="000B47F1">
            <w:pPr>
              <w:jc w:val="right"/>
            </w:pPr>
            <w:r>
              <w:t>4,1</w:t>
            </w:r>
          </w:p>
        </w:tc>
        <w:tc>
          <w:tcPr>
            <w:tcW w:w="1276" w:type="dxa"/>
          </w:tcPr>
          <w:p w:rsidR="00817D20" w:rsidRPr="00130E5F" w:rsidRDefault="00130E5F" w:rsidP="000B47F1">
            <w:pPr>
              <w:jc w:val="right"/>
            </w:pPr>
            <w:r>
              <w:t>5,3</w:t>
            </w:r>
          </w:p>
        </w:tc>
      </w:tr>
      <w:tr w:rsidR="00817D20" w:rsidTr="00817D20">
        <w:tc>
          <w:tcPr>
            <w:tcW w:w="4066" w:type="dxa"/>
          </w:tcPr>
          <w:p w:rsidR="00817D20" w:rsidRPr="00DE0B24" w:rsidRDefault="00DE0B24" w:rsidP="008F2941">
            <w:r>
              <w:t>Извоз роба и услуга</w:t>
            </w:r>
          </w:p>
        </w:tc>
        <w:tc>
          <w:tcPr>
            <w:tcW w:w="1275" w:type="dxa"/>
          </w:tcPr>
          <w:p w:rsidR="00817D20" w:rsidRPr="00130E5F" w:rsidRDefault="00130E5F" w:rsidP="00DE0B24">
            <w:pPr>
              <w:jc w:val="right"/>
            </w:pPr>
            <w:r>
              <w:t>9,8</w:t>
            </w:r>
          </w:p>
        </w:tc>
        <w:tc>
          <w:tcPr>
            <w:tcW w:w="1276" w:type="dxa"/>
          </w:tcPr>
          <w:p w:rsidR="00817D20" w:rsidRPr="00130E5F" w:rsidRDefault="00130E5F" w:rsidP="00B566B9">
            <w:pPr>
              <w:jc w:val="right"/>
            </w:pPr>
            <w:r>
              <w:t>8,8</w:t>
            </w:r>
          </w:p>
        </w:tc>
        <w:tc>
          <w:tcPr>
            <w:tcW w:w="1276" w:type="dxa"/>
          </w:tcPr>
          <w:p w:rsidR="00817D20" w:rsidRPr="00130E5F" w:rsidRDefault="00130E5F" w:rsidP="000B47F1">
            <w:pPr>
              <w:jc w:val="right"/>
            </w:pPr>
            <w:r>
              <w:t>8,4</w:t>
            </w:r>
          </w:p>
        </w:tc>
        <w:tc>
          <w:tcPr>
            <w:tcW w:w="1276" w:type="dxa"/>
          </w:tcPr>
          <w:p w:rsidR="00817D20" w:rsidRPr="00130E5F" w:rsidRDefault="000B47F1" w:rsidP="00130E5F">
            <w:pPr>
              <w:jc w:val="right"/>
            </w:pPr>
            <w:r>
              <w:t>7,</w:t>
            </w:r>
            <w:r w:rsidR="00130E5F">
              <w:t>9</w:t>
            </w:r>
          </w:p>
        </w:tc>
      </w:tr>
      <w:tr w:rsidR="00DE0B24" w:rsidTr="00817D20">
        <w:tc>
          <w:tcPr>
            <w:tcW w:w="4066" w:type="dxa"/>
          </w:tcPr>
          <w:p w:rsidR="00DE0B24" w:rsidRDefault="00DE0B24" w:rsidP="008F2941">
            <w:r>
              <w:t>Увоз роба и услуга</w:t>
            </w:r>
          </w:p>
        </w:tc>
        <w:tc>
          <w:tcPr>
            <w:tcW w:w="1275" w:type="dxa"/>
          </w:tcPr>
          <w:p w:rsidR="00DE0B24" w:rsidRPr="00130E5F" w:rsidRDefault="00130E5F" w:rsidP="00DE0B24">
            <w:pPr>
              <w:jc w:val="right"/>
            </w:pPr>
            <w:r>
              <w:t>10,6</w:t>
            </w:r>
          </w:p>
        </w:tc>
        <w:tc>
          <w:tcPr>
            <w:tcW w:w="1276" w:type="dxa"/>
          </w:tcPr>
          <w:p w:rsidR="00DE0B24" w:rsidRPr="00130E5F" w:rsidRDefault="00130E5F" w:rsidP="00B566B9">
            <w:pPr>
              <w:jc w:val="right"/>
            </w:pPr>
            <w:r>
              <w:t>7,0</w:t>
            </w:r>
          </w:p>
        </w:tc>
        <w:tc>
          <w:tcPr>
            <w:tcW w:w="1276" w:type="dxa"/>
          </w:tcPr>
          <w:p w:rsidR="00DE0B24" w:rsidRPr="00130E5F" w:rsidRDefault="00130E5F" w:rsidP="000B47F1">
            <w:pPr>
              <w:jc w:val="right"/>
            </w:pPr>
            <w:r>
              <w:t>7,2</w:t>
            </w:r>
          </w:p>
        </w:tc>
        <w:tc>
          <w:tcPr>
            <w:tcW w:w="1276" w:type="dxa"/>
          </w:tcPr>
          <w:p w:rsidR="00DE0B24" w:rsidRPr="00130E5F" w:rsidRDefault="00130E5F" w:rsidP="000B47F1">
            <w:pPr>
              <w:jc w:val="right"/>
            </w:pPr>
            <w:r>
              <w:t>7,0</w:t>
            </w:r>
          </w:p>
        </w:tc>
      </w:tr>
      <w:tr w:rsidR="00817D20" w:rsidTr="00817D20">
        <w:tc>
          <w:tcPr>
            <w:tcW w:w="4066" w:type="dxa"/>
          </w:tcPr>
          <w:p w:rsidR="00817D20" w:rsidRPr="00130E5F" w:rsidRDefault="00130E5F" w:rsidP="008F2941">
            <w:r>
              <w:t>Инфлација , просек периода, %</w:t>
            </w:r>
          </w:p>
        </w:tc>
        <w:tc>
          <w:tcPr>
            <w:tcW w:w="1275" w:type="dxa"/>
          </w:tcPr>
          <w:p w:rsidR="00817D20" w:rsidRPr="00130E5F" w:rsidRDefault="00130E5F" w:rsidP="00DE0B24">
            <w:pPr>
              <w:jc w:val="right"/>
            </w:pPr>
            <w:r>
              <w:t>3,1</w:t>
            </w:r>
          </w:p>
        </w:tc>
        <w:tc>
          <w:tcPr>
            <w:tcW w:w="1276" w:type="dxa"/>
          </w:tcPr>
          <w:p w:rsidR="00817D20" w:rsidRPr="00130E5F" w:rsidRDefault="00130E5F" w:rsidP="00B566B9">
            <w:pPr>
              <w:jc w:val="right"/>
            </w:pPr>
            <w:r>
              <w:t>2,7</w:t>
            </w:r>
          </w:p>
        </w:tc>
        <w:tc>
          <w:tcPr>
            <w:tcW w:w="1276" w:type="dxa"/>
          </w:tcPr>
          <w:p w:rsidR="00817D20" w:rsidRPr="00130E5F" w:rsidRDefault="00130E5F" w:rsidP="000B47F1">
            <w:pPr>
              <w:jc w:val="right"/>
            </w:pPr>
            <w:r>
              <w:t>2,8</w:t>
            </w:r>
          </w:p>
        </w:tc>
        <w:tc>
          <w:tcPr>
            <w:tcW w:w="1276" w:type="dxa"/>
          </w:tcPr>
          <w:p w:rsidR="00817D20" w:rsidRPr="00130E5F" w:rsidRDefault="00130E5F" w:rsidP="000B47F1">
            <w:pPr>
              <w:jc w:val="right"/>
            </w:pPr>
            <w:r>
              <w:t>3,0</w:t>
            </w:r>
          </w:p>
        </w:tc>
      </w:tr>
    </w:tbl>
    <w:p w:rsidR="008F2941" w:rsidRPr="003F391C" w:rsidRDefault="003F391C" w:rsidP="00F611B8">
      <w:r>
        <w:tab/>
      </w:r>
    </w:p>
    <w:p w:rsidR="008F2941" w:rsidRPr="003F391C" w:rsidRDefault="0070156E" w:rsidP="00A52318">
      <w:pPr>
        <w:ind w:firstLine="720"/>
      </w:pPr>
      <w:r>
        <w:t xml:space="preserve">Извор: </w:t>
      </w:r>
      <w:r w:rsidR="003F391C">
        <w:t>Министарство финансија</w:t>
      </w:r>
    </w:p>
    <w:p w:rsidR="008F2941" w:rsidRPr="00C666A0" w:rsidRDefault="0070156E" w:rsidP="008F2941">
      <w:pPr>
        <w:ind w:left="720"/>
        <w:rPr>
          <w:b/>
        </w:rPr>
      </w:pPr>
      <w:r>
        <w:t xml:space="preserve"> </w:t>
      </w:r>
      <w:r w:rsidRPr="00C666A0">
        <w:rPr>
          <w:b/>
        </w:rPr>
        <w:t>СМЕРНИЦЕ ЗА ПЛАНИРАЊЕ ПОЈЕДИНИХ КАТЕГОРИЈА РАСХОДА</w:t>
      </w:r>
    </w:p>
    <w:p w:rsidR="008F2941" w:rsidRDefault="0070156E" w:rsidP="008F2941">
      <w:pPr>
        <w:ind w:left="720"/>
      </w:pPr>
      <w:r>
        <w:t xml:space="preserve"> Група конта 41 – Расходи за запослене</w:t>
      </w:r>
    </w:p>
    <w:p w:rsidR="008F2941" w:rsidRPr="00EA0AF7" w:rsidRDefault="0070156E" w:rsidP="008F2941">
      <w:pPr>
        <w:pStyle w:val="ListParagraph"/>
        <w:numPr>
          <w:ilvl w:val="0"/>
          <w:numId w:val="1"/>
        </w:numPr>
        <w:rPr>
          <w:b/>
        </w:rPr>
      </w:pPr>
      <w:r w:rsidRPr="00EA0AF7">
        <w:rPr>
          <w:b/>
        </w:rPr>
        <w:t xml:space="preserve">Законско уређење плата </w:t>
      </w:r>
    </w:p>
    <w:p w:rsidR="008F2941" w:rsidRDefault="0070156E" w:rsidP="00EA0AF7">
      <w:pPr>
        <w:pStyle w:val="ListParagraph"/>
        <w:ind w:left="0" w:firstLine="1110"/>
      </w:pPr>
      <w:r>
        <w:t xml:space="preserve">Плате запослених код корисника буџета локалне власти уређене су у складу са Законом о платама у државним органима и јавним службама („Службени гласник РС", бр. </w:t>
      </w:r>
      <w:r>
        <w:lastRenderedPageBreak/>
        <w:t xml:space="preserve">62/06...99/14), Законом о привременом уређивању основица за обрачун и исплату плата, односно зарада и других сталних примања код корисника јавних средстава („Службени гласник РС", број 116/14) и Уредбом о коефицијентима за обрачун и исплату плата именованих и постављених лица и запослених у државним органима („Службени гласник РС", бр. 44/08 - пречишћен текст и 2/12). </w:t>
      </w:r>
    </w:p>
    <w:p w:rsidR="008F2941" w:rsidRDefault="0070156E" w:rsidP="00EA0AF7">
      <w:pPr>
        <w:pStyle w:val="ListParagraph"/>
        <w:ind w:left="0" w:firstLine="1110"/>
      </w:pPr>
      <w:r>
        <w:t xml:space="preserve">Приликом обрачуна и исплате плата за запослене у предшколским установама и другим јавним службама (установе културе) не примењује се Уредба о коефицијентима за обрачун и исплату плата именованих и постављених лица и запослених у државним органима, већ Уредба о  коефицијентима за обрачун и исплату плата запослених у јавним службама („Службени гласник РС", бр. 44/01...58/14). </w:t>
      </w:r>
    </w:p>
    <w:p w:rsidR="008F2941" w:rsidRDefault="0070156E" w:rsidP="00EA0AF7">
      <w:pPr>
        <w:pStyle w:val="ListParagraph"/>
        <w:ind w:left="0" w:firstLine="1110"/>
      </w:pPr>
      <w:r>
        <w:t>Приликом обрачуна и исплате плата примењују се основице према закључцима Владе Републике Србије.</w:t>
      </w:r>
    </w:p>
    <w:p w:rsidR="008F2941" w:rsidRDefault="0070156E" w:rsidP="008F2941">
      <w:pPr>
        <w:pStyle w:val="ListParagraph"/>
        <w:numPr>
          <w:ilvl w:val="0"/>
          <w:numId w:val="1"/>
        </w:numPr>
        <w:rPr>
          <w:b/>
        </w:rPr>
      </w:pPr>
      <w:r w:rsidRPr="00EA0AF7">
        <w:rPr>
          <w:b/>
        </w:rPr>
        <w:t xml:space="preserve">Планирање масе средстава за плате </w:t>
      </w:r>
      <w:r w:rsidR="00EB3485">
        <w:rPr>
          <w:b/>
        </w:rPr>
        <w:t xml:space="preserve"> и броја запослених </w:t>
      </w:r>
      <w:r w:rsidRPr="00EA0AF7">
        <w:rPr>
          <w:b/>
        </w:rPr>
        <w:t>у одлукама о буџету за 201</w:t>
      </w:r>
      <w:r w:rsidR="006F344F">
        <w:rPr>
          <w:b/>
        </w:rPr>
        <w:t>9</w:t>
      </w:r>
      <w:r w:rsidRPr="00EA0AF7">
        <w:rPr>
          <w:b/>
        </w:rPr>
        <w:t>. годину</w:t>
      </w:r>
    </w:p>
    <w:p w:rsidR="00E60D28" w:rsidRDefault="00E60D28" w:rsidP="00E60D28">
      <w:pPr>
        <w:pStyle w:val="ListParagraph"/>
        <w:ind w:left="1110"/>
        <w:rPr>
          <w:b/>
        </w:rPr>
      </w:pPr>
    </w:p>
    <w:p w:rsidR="00F84683" w:rsidRPr="001766BD" w:rsidRDefault="00E60D28" w:rsidP="001766BD">
      <w:pPr>
        <w:pStyle w:val="ListParagraph"/>
        <w:ind w:left="0" w:firstLine="720"/>
      </w:pPr>
      <w:r>
        <w:t xml:space="preserve">За сада није познато будуће кретање плата у јавном сектору, с обзиром на то да посебна фискална правила , утврђена чл. 27е Закона о буџетском систему , одређују кретање плата и пензија  до 2018. године. исто тако није познат ни број запослених чије ће се плате финансирати из буџета општине Ћићевац у 2019. години јер одлука којом се одређује максималан број запослених  на неодређено време у јавном сектору  важи само за календарску 2017. годину. Очекујићи до краја године нову одлуку о максималном броју запослених у јавном сектору, која ће бити полазна основа за припрему нацрта кадровског плана за 2019. годину и за одређивање масе средстава за </w:t>
      </w:r>
      <w:r w:rsidR="001766BD">
        <w:t>плате које се финансирају из буџета и , и</w:t>
      </w:r>
      <w:r w:rsidR="00F84683">
        <w:t>знос средстава потребних за исплату плата планирати на основу постојећих прописа и на основу постојећег броја извршилаца према утврђеним коефицијентима и важећој основици за</w:t>
      </w:r>
      <w:r w:rsidR="0015136D">
        <w:t xml:space="preserve"> </w:t>
      </w:r>
      <w:r w:rsidR="00F84683">
        <w:t>обрачун плате. Уколико у Упутству Министарства финансија буду предвиђене промене нивоа зарада у 201</w:t>
      </w:r>
      <w:r w:rsidR="006F344F">
        <w:t>9</w:t>
      </w:r>
      <w:r w:rsidR="00F84683">
        <w:t xml:space="preserve">. години Одсек за </w:t>
      </w:r>
      <w:r w:rsidR="00A15254">
        <w:t xml:space="preserve">буџет и </w:t>
      </w:r>
      <w:r w:rsidR="00F84683">
        <w:t>финансије ће благовремено обавестити све кориснике буџетских средстава о потребном усклађиваању.</w:t>
      </w:r>
    </w:p>
    <w:p w:rsidR="00B5080B" w:rsidRDefault="0070156E" w:rsidP="00EA0AF7">
      <w:pPr>
        <w:pStyle w:val="ListParagraph"/>
        <w:ind w:left="0" w:firstLine="1110"/>
      </w:pPr>
      <w:r>
        <w:t>Као и у претходним годинама, и у буџетској 201</w:t>
      </w:r>
      <w:r w:rsidR="006F344F">
        <w:t>9</w:t>
      </w:r>
      <w:r>
        <w:t>. години, не треба планирати обрачун и исплату божићних, годишњих и других врста награда и бонуса предвиђених посебним и појединачним колективним уговорима, за директне и индиректне кориснике буџетских средстава локалне власти, осим јубиларних награда за запослене који ће то право стећи у 201</w:t>
      </w:r>
      <w:r w:rsidR="006F344F">
        <w:t>9</w:t>
      </w:r>
      <w:r>
        <w:t>. години.</w:t>
      </w:r>
    </w:p>
    <w:p w:rsidR="00B5080B" w:rsidRDefault="0070156E" w:rsidP="00EA0AF7">
      <w:pPr>
        <w:pStyle w:val="ListParagraph"/>
        <w:ind w:left="0" w:firstLine="750"/>
      </w:pPr>
      <w:r>
        <w:t>Такође, у 201</w:t>
      </w:r>
      <w:r w:rsidR="006F344F">
        <w:t>9</w:t>
      </w:r>
      <w:r>
        <w:t xml:space="preserve">.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 </w:t>
      </w:r>
    </w:p>
    <w:p w:rsidR="00B5080B" w:rsidRDefault="0070156E" w:rsidP="00EA0AF7">
      <w:pPr>
        <w:pStyle w:val="ListParagraph"/>
        <w:ind w:left="0" w:firstLine="720"/>
      </w:pPr>
      <w:r>
        <w:t>Остале економске класификације у оквиру групе 41 – Расходи за запослене, планирати крајње рестриктивно.</w:t>
      </w:r>
    </w:p>
    <w:p w:rsidR="003871BB" w:rsidRDefault="0070156E" w:rsidP="003871BB">
      <w:pPr>
        <w:pStyle w:val="ListParagraph"/>
        <w:ind w:left="0" w:firstLine="720"/>
      </w:pPr>
      <w:r w:rsidRPr="003871BB">
        <w:rPr>
          <w:b/>
        </w:rPr>
        <w:t>Група конта 42 – Коришћење услуга и роба</w:t>
      </w:r>
      <w:r>
        <w:t xml:space="preserve"> </w:t>
      </w:r>
    </w:p>
    <w:p w:rsidR="003871BB" w:rsidRDefault="0070156E" w:rsidP="003871BB">
      <w:pPr>
        <w:pStyle w:val="ListParagraph"/>
        <w:ind w:left="0" w:firstLine="720"/>
      </w:pPr>
      <w:r>
        <w:t>У оквиру групе конта која се односе на куповину роба и услуга, потребно је реално планирати средства за ове намене у 201</w:t>
      </w:r>
      <w:r w:rsidR="009D6B11">
        <w:t>9</w:t>
      </w:r>
      <w:r>
        <w:t xml:space="preserve">. години, а нарочито за извршавање расхода на име сталних трошкова (421 – Стални трошкови). </w:t>
      </w:r>
    </w:p>
    <w:p w:rsidR="00C26C38" w:rsidRPr="00C26C38" w:rsidRDefault="00C26C38" w:rsidP="003871BB">
      <w:pPr>
        <w:pStyle w:val="ListParagraph"/>
        <w:ind w:left="0" w:firstLine="720"/>
      </w:pPr>
      <w:r>
        <w:lastRenderedPageBreak/>
        <w:t>Буџетски корисници треба да преиспитају оправданост формираних комисија и других радних тела , као и потребу оснивања нових , осим оних предвиђеним законом (423--  Услуге по уговору).</w:t>
      </w:r>
    </w:p>
    <w:p w:rsidR="003871BB" w:rsidRDefault="0070156E" w:rsidP="003871BB">
      <w:pPr>
        <w:pStyle w:val="ListParagraph"/>
        <w:ind w:left="0" w:firstLine="720"/>
      </w:pPr>
      <w:r>
        <w:t xml:space="preserve">Препорука је да буџетски корисници у буџетској процедури преиспитају и потребу смањења других накнада за рад, које нису обухваћене Законом (уговори о делу, привремено повремени послови и др), а све у циљу великих потреба фискалног прилагођавања. </w:t>
      </w:r>
    </w:p>
    <w:p w:rsidR="003871BB" w:rsidRDefault="0070156E" w:rsidP="003871BB">
      <w:pPr>
        <w:pStyle w:val="ListParagraph"/>
        <w:ind w:left="0" w:firstLine="720"/>
      </w:pPr>
      <w:r>
        <w:t xml:space="preserve">Посебно је приликом планирања ове групе конта потребан крајње реалан приступ и са аспекта Закона о роковима измирења новчаних обавеза у комерцијалним трансакцијама. </w:t>
      </w:r>
    </w:p>
    <w:p w:rsidR="003871BB" w:rsidRDefault="003871BB" w:rsidP="003871BB">
      <w:pPr>
        <w:pStyle w:val="ListParagraph"/>
        <w:ind w:left="0" w:firstLine="720"/>
      </w:pPr>
    </w:p>
    <w:p w:rsidR="003871BB" w:rsidRDefault="0070156E" w:rsidP="003871BB">
      <w:pPr>
        <w:pStyle w:val="ListParagraph"/>
        <w:ind w:left="0" w:firstLine="720"/>
      </w:pPr>
      <w:r w:rsidRPr="003871BB">
        <w:rPr>
          <w:b/>
        </w:rPr>
        <w:t>Група конта 45 - Субвенције и група конта 62 - Набавка финансијске имовине</w:t>
      </w:r>
      <w:r>
        <w:t xml:space="preserve"> </w:t>
      </w:r>
    </w:p>
    <w:p w:rsidR="003871BB" w:rsidRDefault="0070156E" w:rsidP="003871BB">
      <w:pPr>
        <w:pStyle w:val="ListParagraph"/>
        <w:ind w:left="0" w:firstLine="720"/>
      </w:pPr>
      <w:r>
        <w:t xml:space="preserve">У оквиру субвенција и буџетских кредита неопходно је преиспитати све програме по основу којих се додељују субвенције и буџетски кредити, имајући у виду мере фискалне консолидације које подразумевају смањење субвенција и буџетских кредита. </w:t>
      </w:r>
    </w:p>
    <w:p w:rsidR="003871BB" w:rsidRDefault="0070156E" w:rsidP="003871BB">
      <w:pPr>
        <w:pStyle w:val="ListParagraph"/>
        <w:ind w:left="0" w:firstLine="720"/>
      </w:pPr>
      <w:r>
        <w:t xml:space="preserve">Приликом планирања средстава за субвенције и њихових намена посебно треба имати у виду све прописе који се тичу државне помоћи. </w:t>
      </w:r>
    </w:p>
    <w:p w:rsidR="003871BB" w:rsidRDefault="003871BB" w:rsidP="003871BB">
      <w:pPr>
        <w:pStyle w:val="ListParagraph"/>
        <w:ind w:left="0" w:firstLine="720"/>
      </w:pPr>
    </w:p>
    <w:p w:rsidR="003871BB" w:rsidRDefault="0070156E" w:rsidP="003871BB">
      <w:pPr>
        <w:pStyle w:val="ListParagraph"/>
        <w:ind w:left="0" w:firstLine="720"/>
      </w:pPr>
      <w:r w:rsidRPr="003871BB">
        <w:rPr>
          <w:b/>
        </w:rPr>
        <w:t>Група конта 48 – Остали расходи</w:t>
      </w:r>
      <w:r>
        <w:t xml:space="preserve"> </w:t>
      </w:r>
    </w:p>
    <w:p w:rsidR="003871BB" w:rsidRDefault="0070156E" w:rsidP="003871BB">
      <w:pPr>
        <w:pStyle w:val="ListParagraph"/>
        <w:ind w:left="0" w:firstLine="720"/>
      </w:pPr>
      <w:r>
        <w:t xml:space="preserve">Остале расходе, такође треба планирати у складу са рестриктивном политиком која се спроводи у циљу одрживог нивоа дефицита. Приликом планирања наведених расхода, треба имати у виду да се услед недовољног износа средстава на економској класификацији 483 – Новчане казне и пенали по решењу судова, иста повећава смањењем осталих економских класификација, на којима је, због наведеног, неопходно прилагодити преузимање обавеза, како би се на тај начин спречило стварање доцњи. </w:t>
      </w:r>
    </w:p>
    <w:p w:rsidR="003871BB" w:rsidRDefault="0070156E" w:rsidP="003871BB">
      <w:pPr>
        <w:pStyle w:val="ListParagraph"/>
        <w:ind w:left="0" w:firstLine="720"/>
      </w:pPr>
      <w:r>
        <w:t xml:space="preserve">У циљу транспарентнијег приказивања средстава намењених за финансирање редовног рада политичких субјеката, у складу са Законом о финансирању политичких активности потребно је, у опису апропријације економске класификације 481 – Дотације невладиним организацијама, посебно исказати средства за наведену намену. </w:t>
      </w:r>
    </w:p>
    <w:p w:rsidR="003871BB" w:rsidRDefault="003871BB" w:rsidP="003871BB">
      <w:pPr>
        <w:pStyle w:val="ListParagraph"/>
        <w:ind w:left="0" w:firstLine="720"/>
      </w:pPr>
    </w:p>
    <w:p w:rsidR="003871BB" w:rsidRDefault="0070156E" w:rsidP="003871BB">
      <w:pPr>
        <w:pStyle w:val="ListParagraph"/>
        <w:ind w:left="0" w:firstLine="720"/>
      </w:pPr>
      <w:r w:rsidRPr="003871BB">
        <w:rPr>
          <w:b/>
        </w:rPr>
        <w:t>Смернице за исказивање издатака за капиталне пројекте за 201</w:t>
      </w:r>
      <w:r w:rsidR="009D6B11">
        <w:rPr>
          <w:b/>
        </w:rPr>
        <w:t>9</w:t>
      </w:r>
      <w:r w:rsidRPr="003871BB">
        <w:rPr>
          <w:b/>
        </w:rPr>
        <w:t xml:space="preserve"> - 202</w:t>
      </w:r>
      <w:r w:rsidR="009D6B11">
        <w:rPr>
          <w:b/>
        </w:rPr>
        <w:t>1</w:t>
      </w:r>
      <w:r>
        <w:t>.</w:t>
      </w:r>
    </w:p>
    <w:p w:rsidR="003871BB" w:rsidRDefault="003871BB" w:rsidP="003871BB">
      <w:pPr>
        <w:pStyle w:val="ListParagraph"/>
        <w:ind w:left="0" w:firstLine="720"/>
      </w:pPr>
    </w:p>
    <w:p w:rsidR="003871BB" w:rsidRDefault="0070156E" w:rsidP="003871BB">
      <w:pPr>
        <w:pStyle w:val="ListParagraph"/>
        <w:ind w:left="0" w:firstLine="720"/>
      </w:pPr>
      <w:r w:rsidRPr="003871BB">
        <w:rPr>
          <w:b/>
        </w:rPr>
        <w:t xml:space="preserve"> Класа 5 –Издаци за нефинансијску имовину</w:t>
      </w:r>
      <w:r>
        <w:t xml:space="preserve"> </w:t>
      </w:r>
    </w:p>
    <w:p w:rsidR="003871BB" w:rsidRDefault="0070156E" w:rsidP="003871BB">
      <w:pPr>
        <w:pStyle w:val="ListParagraph"/>
        <w:ind w:left="0" w:firstLine="720"/>
      </w:pPr>
      <w:r>
        <w:t xml:space="preserve">Набавке административне, канцеларијске опреме, аутомобила и осталих основних средстава за редован рад потребно је планирати уз максималне уштеде, тако да се само врше набавке средстава неопходних за рад. </w:t>
      </w:r>
    </w:p>
    <w:p w:rsidR="003871BB" w:rsidRDefault="0070156E" w:rsidP="003871BB">
      <w:pPr>
        <w:pStyle w:val="ListParagraph"/>
        <w:ind w:left="0" w:firstLine="720"/>
      </w:pPr>
      <w:r>
        <w:t xml:space="preserve">Важно је да корисници не исказују као капиталне издатке текуће поправке и одржавање зграда, објеката и опреме, већ да расходе за те намене (за молерске, зидарске радове, поправке електронске и електричне опреме итд.) планирају на апропријацији економске класификације 425 – Текуће поправке и одржавање, док средства за капиталне пројекте треба да планирају на контима групе 51, 52 и 54. </w:t>
      </w:r>
    </w:p>
    <w:p w:rsidR="009125B2" w:rsidRPr="009125B2" w:rsidRDefault="009125B2" w:rsidP="003871BB">
      <w:pPr>
        <w:pStyle w:val="ListParagraph"/>
        <w:ind w:left="0" w:firstLine="720"/>
      </w:pPr>
    </w:p>
    <w:p w:rsidR="003871BB" w:rsidRPr="003871BB" w:rsidRDefault="0070156E" w:rsidP="003871BB">
      <w:pPr>
        <w:pStyle w:val="ListParagraph"/>
        <w:ind w:left="0" w:firstLine="720"/>
        <w:rPr>
          <w:b/>
        </w:rPr>
      </w:pPr>
      <w:r w:rsidRPr="003871BB">
        <w:rPr>
          <w:b/>
        </w:rPr>
        <w:t xml:space="preserve"> Капитални пројекти и њихов значај</w:t>
      </w:r>
    </w:p>
    <w:p w:rsidR="003871BB" w:rsidRDefault="0070156E" w:rsidP="003871BB">
      <w:pPr>
        <w:pStyle w:val="ListParagraph"/>
        <w:ind w:left="0" w:firstLine="720"/>
      </w:pPr>
      <w:r>
        <w:lastRenderedPageBreak/>
        <w:t xml:space="preserve"> Капитални пројекти су пројекти изградње и капиталног одржавања зграда и грађевинских објеката инфраструктуре од интереса за локалну власт, укључујући услуге пројектног планирања које је саставни део пројекта, обезбеђивање земљишта за изградњу, као и пројекти који подразумевају улагања у опрему, машине и другу нефинансијску имовину, а у функцији су јавног интереса. </w:t>
      </w:r>
    </w:p>
    <w:p w:rsidR="003871BB" w:rsidRDefault="0070156E" w:rsidP="003871BB">
      <w:pPr>
        <w:pStyle w:val="ListParagraph"/>
        <w:ind w:left="0" w:firstLine="720"/>
      </w:pPr>
      <w:r>
        <w:t xml:space="preserve">Капиталним пројектима се увећава имовина локалне власти путем изградње и капиталног одржавања грађевинских објеката инфраструктуре и улагања у опрему, машине и другу нефинансијску имовину. </w:t>
      </w:r>
    </w:p>
    <w:p w:rsidR="009125B2" w:rsidRPr="009125B2" w:rsidRDefault="009125B2" w:rsidP="003871BB">
      <w:pPr>
        <w:pStyle w:val="ListParagraph"/>
        <w:ind w:left="0" w:firstLine="720"/>
      </w:pPr>
    </w:p>
    <w:p w:rsidR="003871BB" w:rsidRDefault="0070156E" w:rsidP="003871BB">
      <w:pPr>
        <w:pStyle w:val="ListParagraph"/>
        <w:ind w:left="0" w:firstLine="720"/>
      </w:pPr>
      <w:r w:rsidRPr="003871BB">
        <w:rPr>
          <w:b/>
        </w:rPr>
        <w:t>Вишегодишње планирање капиталних пројеката</w:t>
      </w:r>
      <w:r>
        <w:t xml:space="preserve"> </w:t>
      </w:r>
    </w:p>
    <w:p w:rsidR="00F20FD5" w:rsidRDefault="0070156E" w:rsidP="003871BB">
      <w:pPr>
        <w:pStyle w:val="ListParagraph"/>
        <w:ind w:left="0" w:firstLine="720"/>
      </w:pPr>
      <w:r>
        <w:t>У складу са Законом о буџетском систему капитални издаци се исказују за три године у општем делу одлуке о буџету локалне власти, без обзира да ли се капитални пројекти уговарају фазно по годинама или корисник преузима обавезе по уговору који захтева плаћање у више година.</w:t>
      </w:r>
    </w:p>
    <w:p w:rsidR="00F20FD5" w:rsidRDefault="0070156E" w:rsidP="003871BB">
      <w:pPr>
        <w:pStyle w:val="ListParagraph"/>
        <w:ind w:left="0" w:firstLine="720"/>
      </w:pPr>
      <w:r>
        <w:t xml:space="preserve"> Приликом вишегодишњег планирања капиталних пројеката корисници полазе од: - Општег дела одлуке о буџету локалне власти за обавезе по уговору које се односе на капиталне издатке и захтевају плаћање у више година, а које су корисници у 201</w:t>
      </w:r>
      <w:r w:rsidR="00CF4C0F">
        <w:t>8</w:t>
      </w:r>
      <w:r>
        <w:t>. години преузели уз сагласност надлежног извршног органа локалне власти, и дужни су да такву обавезу укључе у финансијски план у години у којој обавеза доспева у износу обавезе за ту годину и планирају по годинама у оквиру лимита на свом разделу;</w:t>
      </w:r>
    </w:p>
    <w:p w:rsidR="00F20FD5" w:rsidRDefault="0070156E" w:rsidP="003871BB">
      <w:pPr>
        <w:pStyle w:val="ListParagraph"/>
        <w:ind w:left="0" w:firstLine="720"/>
      </w:pPr>
      <w:r>
        <w:t xml:space="preserve"> - Општег дела одлуке о буџету локалне власти за капиталне пројекте за које нису преузете вишегодишње обавезе у 201</w:t>
      </w:r>
      <w:r w:rsidR="00CF4C0F">
        <w:t>8</w:t>
      </w:r>
      <w:r>
        <w:t>. години, корисници су у обавези да анализирају физичку и финансијску реализацију тих капиталних пројеката, у циљу ефикасније алокације средстава, као и да укључе капиталне издатке у финансијски план и планирају по годинама у оквиру лимита на свом разделу, за пројекте чија је даља реализација оправдана.</w:t>
      </w:r>
    </w:p>
    <w:p w:rsidR="00F20FD5" w:rsidRDefault="0070156E" w:rsidP="003871BB">
      <w:pPr>
        <w:pStyle w:val="ListParagraph"/>
        <w:ind w:left="0" w:firstLine="720"/>
      </w:pPr>
      <w:r>
        <w:t xml:space="preserve"> На основу урађених анализа, корисници могу одустати од пројеката чија је даља реализација неоправдана. Такође, корисници могу планирати издатке за нове капиталне пројекте у 201</w:t>
      </w:r>
      <w:r w:rsidR="00CF4C0F">
        <w:t>9</w:t>
      </w:r>
      <w:r>
        <w:t>. години и наредне две године.</w:t>
      </w:r>
    </w:p>
    <w:p w:rsidR="00F20FD5" w:rsidRDefault="0070156E" w:rsidP="003871BB">
      <w:pPr>
        <w:pStyle w:val="ListParagraph"/>
        <w:ind w:left="0" w:firstLine="720"/>
      </w:pPr>
      <w:r>
        <w:t xml:space="preserve"> Предност у планирању нових капиталних пројеката на извођењу радова треба дати онима који су спремни за реализацију (који имају пројектно - техничку документацију, грађевинску дозволу, као и документацију неопходну за спровођење поступка јавне набавке).</w:t>
      </w:r>
    </w:p>
    <w:p w:rsidR="00F20FD5" w:rsidRDefault="0070156E" w:rsidP="003871BB">
      <w:pPr>
        <w:pStyle w:val="ListParagraph"/>
        <w:ind w:left="0" w:firstLine="720"/>
      </w:pPr>
      <w:r>
        <w:t xml:space="preserve"> Такође, важно је планирати капиталне пројекте по годинама у оном износу који је остварив и одговаран са фискалне и економске тачке гледишта, имајући у виду низак ниво реализације пројеката у претходним годинама.</w:t>
      </w:r>
    </w:p>
    <w:p w:rsidR="009125B2" w:rsidRPr="009125B2" w:rsidRDefault="009125B2" w:rsidP="003871BB">
      <w:pPr>
        <w:pStyle w:val="ListParagraph"/>
        <w:ind w:left="0" w:firstLine="720"/>
      </w:pPr>
    </w:p>
    <w:p w:rsidR="00F20FD5" w:rsidRDefault="0070156E" w:rsidP="003871BB">
      <w:pPr>
        <w:pStyle w:val="ListParagraph"/>
        <w:ind w:left="0" w:firstLine="720"/>
      </w:pPr>
      <w:r>
        <w:t xml:space="preserve"> </w:t>
      </w:r>
      <w:r w:rsidRPr="00F20FD5">
        <w:rPr>
          <w:b/>
        </w:rPr>
        <w:t>Планирање издатака за капиталне пројекте</w:t>
      </w:r>
      <w:r>
        <w:t xml:space="preserve"> </w:t>
      </w:r>
    </w:p>
    <w:p w:rsidR="00F20FD5" w:rsidRDefault="0070156E" w:rsidP="003871BB">
      <w:pPr>
        <w:pStyle w:val="ListParagraph"/>
        <w:ind w:left="0" w:firstLine="720"/>
      </w:pPr>
      <w:r>
        <w:t>Ради ефикаснијег планирања издатака за капиталне пројекте корисници буџетских средстава дужни су да локалном органу надлежном за финансије доставе попуњену табелу - План капиталних улагања. У наведеној табели, корисници су у обавези да искажу планиране издатке за капиталне пројекте по годинама који се односе на изградњу и капитално одржавање, по контима на трећем и четвртом нивоу, и то:</w:t>
      </w:r>
    </w:p>
    <w:p w:rsidR="00F20FD5" w:rsidRDefault="0070156E" w:rsidP="003871BB">
      <w:pPr>
        <w:pStyle w:val="ListParagraph"/>
        <w:ind w:left="0" w:firstLine="720"/>
      </w:pPr>
      <w:r>
        <w:lastRenderedPageBreak/>
        <w:t xml:space="preserve"> 1) издатке за израду пројектно-техничке документације на конту 5114 (осим уколико је иста већ израђена);</w:t>
      </w:r>
    </w:p>
    <w:p w:rsidR="00F20FD5" w:rsidRDefault="0070156E" w:rsidP="003871BB">
      <w:pPr>
        <w:pStyle w:val="ListParagraph"/>
        <w:ind w:left="0" w:firstLine="720"/>
      </w:pPr>
      <w:r>
        <w:t xml:space="preserve"> 2) издатке за експропријацију земљишта на конту 5411; </w:t>
      </w:r>
    </w:p>
    <w:p w:rsidR="00F20FD5" w:rsidRDefault="0070156E" w:rsidP="003871BB">
      <w:pPr>
        <w:pStyle w:val="ListParagraph"/>
        <w:ind w:left="0" w:firstLine="720"/>
      </w:pPr>
      <w:r>
        <w:t xml:space="preserve">3) издатке за извођење радова на изградњи, односно извођење радова на капиталном одржавању на контима 5112 и 5113; </w:t>
      </w:r>
    </w:p>
    <w:p w:rsidR="00F20FD5" w:rsidRDefault="0070156E" w:rsidP="003871BB">
      <w:pPr>
        <w:pStyle w:val="ListParagraph"/>
        <w:ind w:left="0" w:firstLine="720"/>
      </w:pPr>
      <w:r>
        <w:t>4) издатке за ангажовање стручног надзора на конту 5114 (осим уколико исти нису планирани од стране инвеститора или на неки други начин).</w:t>
      </w:r>
    </w:p>
    <w:p w:rsidR="00F20FD5" w:rsidRDefault="0070156E" w:rsidP="003871BB">
      <w:pPr>
        <w:pStyle w:val="ListParagraph"/>
        <w:ind w:left="0" w:firstLine="720"/>
      </w:pPr>
      <w:r>
        <w:t xml:space="preserve"> Корисници су у обавези да, поред издатака за вишегодишње капиталне пројекте, у табели искажу и капиталне издатке за све једногодишње пројекте односно за пројекте чија реализација траје годину дана.</w:t>
      </w:r>
    </w:p>
    <w:p w:rsidR="00F20FD5" w:rsidRDefault="0070156E" w:rsidP="003871BB">
      <w:pPr>
        <w:pStyle w:val="ListParagraph"/>
        <w:ind w:left="0" w:firstLine="720"/>
      </w:pPr>
      <w:r>
        <w:t xml:space="preserve"> Такође, на основу свеобухватне процене потреба, пројекте је потребно рангирати по приоритетима, у складу са усвојеним стратешким документима, водећи рачуна да приоритет у финансирању имају већ започети пројекти.</w:t>
      </w:r>
    </w:p>
    <w:p w:rsidR="00F20FD5" w:rsidRDefault="0070156E" w:rsidP="003871BB">
      <w:pPr>
        <w:pStyle w:val="ListParagraph"/>
        <w:ind w:left="0" w:firstLine="720"/>
      </w:pPr>
      <w:r>
        <w:t xml:space="preserve"> Набавка роба и услуга и капитална улагања морају се вршити у складу са Законом о јавним набавкама. </w:t>
      </w:r>
    </w:p>
    <w:p w:rsidR="00F20FD5" w:rsidRPr="00F20FD5" w:rsidRDefault="00F20FD5" w:rsidP="003871BB">
      <w:pPr>
        <w:pStyle w:val="ListParagraph"/>
        <w:ind w:left="0" w:firstLine="720"/>
      </w:pPr>
    </w:p>
    <w:p w:rsidR="00F20FD5" w:rsidRDefault="0070156E" w:rsidP="003871BB">
      <w:pPr>
        <w:pStyle w:val="ListParagraph"/>
        <w:ind w:left="0" w:firstLine="720"/>
      </w:pPr>
      <w:r w:rsidRPr="00F20FD5">
        <w:rPr>
          <w:b/>
        </w:rPr>
        <w:t xml:space="preserve"> II ОПИС ПЛАНИРАНЕ ПОЛИТИКЕ ОПШТИНЕ </w:t>
      </w:r>
      <w:r w:rsidR="00F20FD5" w:rsidRPr="00F20FD5">
        <w:rPr>
          <w:b/>
        </w:rPr>
        <w:t>ЋИЋЕВАЦ</w:t>
      </w:r>
      <w:r w:rsidRPr="00F20FD5">
        <w:rPr>
          <w:b/>
        </w:rPr>
        <w:t xml:space="preserve"> ЗА 201</w:t>
      </w:r>
      <w:r w:rsidR="009B18B1">
        <w:rPr>
          <w:b/>
        </w:rPr>
        <w:t>9</w:t>
      </w:r>
      <w:r w:rsidRPr="00F20FD5">
        <w:rPr>
          <w:b/>
        </w:rPr>
        <w:t>. ГОДИНУ</w:t>
      </w:r>
      <w:r>
        <w:t xml:space="preserve"> </w:t>
      </w:r>
    </w:p>
    <w:p w:rsidR="00D80BF8" w:rsidRPr="00D80BF8" w:rsidRDefault="00D80BF8" w:rsidP="003871BB">
      <w:pPr>
        <w:pStyle w:val="ListParagraph"/>
        <w:ind w:left="0" w:firstLine="720"/>
      </w:pPr>
    </w:p>
    <w:p w:rsidR="003E5920" w:rsidRDefault="0070156E" w:rsidP="003C61A5">
      <w:pPr>
        <w:pStyle w:val="ListParagraph"/>
        <w:ind w:left="0" w:firstLine="720"/>
      </w:pPr>
      <w:r>
        <w:t xml:space="preserve">Политика коју ће Општина </w:t>
      </w:r>
      <w:r w:rsidR="00F20FD5">
        <w:t>Ћићевац</w:t>
      </w:r>
      <w:r>
        <w:t xml:space="preserve"> водити у 201</w:t>
      </w:r>
      <w:r w:rsidR="00CF4C0F">
        <w:t>9</w:t>
      </w:r>
      <w:r>
        <w:t xml:space="preserve">. години, поред вршења законом утврђених надлежности, биће усмерена на остваривање стратешких циљева дефинисаних Стратегијом одрживог развоја Општине </w:t>
      </w:r>
      <w:r w:rsidR="00F20FD5">
        <w:t xml:space="preserve">Ћићевац </w:t>
      </w:r>
      <w:r>
        <w:t xml:space="preserve"> 201</w:t>
      </w:r>
      <w:r w:rsidR="003E5920">
        <w:t>3</w:t>
      </w:r>
      <w:r>
        <w:t>. до 202</w:t>
      </w:r>
      <w:r w:rsidR="003E5920">
        <w:t>2</w:t>
      </w:r>
      <w:r>
        <w:t xml:space="preserve">. Скупштина општине </w:t>
      </w:r>
      <w:r w:rsidR="00F20FD5">
        <w:t xml:space="preserve">Ћићевац </w:t>
      </w:r>
      <w:r>
        <w:t xml:space="preserve"> на седници одржаној </w:t>
      </w:r>
      <w:r w:rsidR="003E5920">
        <w:t>15</w:t>
      </w:r>
      <w:r>
        <w:t>.03.201</w:t>
      </w:r>
      <w:r w:rsidR="003E5920">
        <w:t>3</w:t>
      </w:r>
      <w:r>
        <w:t>. године, донела је Страте</w:t>
      </w:r>
      <w:r w:rsidR="003E5920">
        <w:t xml:space="preserve">гију одрживог развоја Општине Ћићевац </w:t>
      </w:r>
      <w:r>
        <w:t xml:space="preserve"> 201</w:t>
      </w:r>
      <w:r w:rsidR="003E5920">
        <w:t>3</w:t>
      </w:r>
      <w:r>
        <w:t>–202</w:t>
      </w:r>
      <w:r w:rsidR="003E5920">
        <w:t>2</w:t>
      </w:r>
      <w:r>
        <w:t xml:space="preserve">. година. Овај документ, али и друга усвојена стратешка, планска и програмска документа која се спроводе у средњорочном периоду представљају основ за успостављање везе између стратешког планирања и програмског буџета, те их у складу са датим обимом средстава треба имати у виду приликом имплементације у програмску структуру буџетског корисника. </w:t>
      </w:r>
    </w:p>
    <w:p w:rsidR="003C61A5" w:rsidRPr="003C61A5" w:rsidRDefault="003C61A5" w:rsidP="003C61A5">
      <w:pPr>
        <w:pStyle w:val="ListParagraph"/>
        <w:ind w:left="0" w:firstLine="720"/>
      </w:pPr>
    </w:p>
    <w:p w:rsidR="00F053CF" w:rsidRDefault="00F053CF" w:rsidP="003871BB">
      <w:pPr>
        <w:pStyle w:val="ListParagraph"/>
        <w:ind w:left="0" w:firstLine="720"/>
      </w:pPr>
    </w:p>
    <w:p w:rsidR="00F053CF" w:rsidRDefault="0070156E" w:rsidP="003871BB">
      <w:pPr>
        <w:pStyle w:val="ListParagraph"/>
        <w:ind w:left="0" w:firstLine="720"/>
      </w:pPr>
      <w:r w:rsidRPr="00F053CF">
        <w:rPr>
          <w:b/>
        </w:rPr>
        <w:t xml:space="preserve">III ПРОЦЕНА ПРИХОДА И ПРИМАЊА И РАСХОДА И ИЗДАТАКА БУЏЕТА ОПШТИНЕ </w:t>
      </w:r>
      <w:r w:rsidR="00F053CF" w:rsidRPr="00F053CF">
        <w:rPr>
          <w:b/>
        </w:rPr>
        <w:t xml:space="preserve">ЋИЋЕВАЦ </w:t>
      </w:r>
      <w:r w:rsidRPr="00F053CF">
        <w:rPr>
          <w:b/>
        </w:rPr>
        <w:t xml:space="preserve"> ЗА 201</w:t>
      </w:r>
      <w:r w:rsidR="00CF4C0F">
        <w:rPr>
          <w:b/>
        </w:rPr>
        <w:t>9</w:t>
      </w:r>
      <w:r w:rsidRPr="00F053CF">
        <w:rPr>
          <w:b/>
        </w:rPr>
        <w:t>. ГОДИНУ И НАРЕДНЕ ДВЕ ФИСКАЛНЕ ГОДИНЕ</w:t>
      </w:r>
      <w:r>
        <w:t xml:space="preserve"> </w:t>
      </w:r>
    </w:p>
    <w:p w:rsidR="00F053CF" w:rsidRDefault="00F053CF" w:rsidP="003871BB">
      <w:pPr>
        <w:pStyle w:val="ListParagraph"/>
        <w:ind w:left="0" w:firstLine="720"/>
      </w:pPr>
    </w:p>
    <w:p w:rsidR="00B66D6D" w:rsidRDefault="0070156E" w:rsidP="003871BB">
      <w:pPr>
        <w:pStyle w:val="ListParagraph"/>
        <w:ind w:left="0" w:firstLine="720"/>
      </w:pPr>
      <w:r>
        <w:t>Законом о буџетском систему утврђено је да се пројектовање прихода и расхода врши за 201</w:t>
      </w:r>
      <w:r w:rsidR="00CF4C0F">
        <w:t>9</w:t>
      </w:r>
      <w:r>
        <w:t xml:space="preserve">. </w:t>
      </w:r>
      <w:r w:rsidR="00CF4C0F">
        <w:t>годину и наредне две године (2020</w:t>
      </w:r>
      <w:r>
        <w:t>.г. и 202</w:t>
      </w:r>
      <w:r w:rsidR="00CF4C0F">
        <w:t>1</w:t>
      </w:r>
      <w:r>
        <w:t xml:space="preserve">.г.). </w:t>
      </w:r>
    </w:p>
    <w:p w:rsidR="00B66D6D" w:rsidRDefault="0070156E" w:rsidP="003871BB">
      <w:pPr>
        <w:pStyle w:val="ListParagraph"/>
        <w:ind w:left="0" w:firstLine="720"/>
      </w:pPr>
      <w:r>
        <w:t>Полазна основа за планирање обима буџета за 201</w:t>
      </w:r>
      <w:r w:rsidR="00CF4C0F">
        <w:t>9</w:t>
      </w:r>
      <w:r>
        <w:t xml:space="preserve">. годину били су планирани приходи и примања из Одлуке о буџету општине </w:t>
      </w:r>
      <w:r w:rsidR="00F611B8">
        <w:t>Ћићевац</w:t>
      </w:r>
      <w:r>
        <w:t xml:space="preserve"> за 201</w:t>
      </w:r>
      <w:r w:rsidR="00CF4C0F">
        <w:t>8</w:t>
      </w:r>
      <w:r>
        <w:t>. годину</w:t>
      </w:r>
      <w:r w:rsidR="00536C1C">
        <w:t xml:space="preserve"> </w:t>
      </w:r>
      <w:r>
        <w:t xml:space="preserve">(Сл. лист општине </w:t>
      </w:r>
      <w:r w:rsidR="00F611B8">
        <w:t>Ћићевац</w:t>
      </w:r>
      <w:r>
        <w:t xml:space="preserve">, број </w:t>
      </w:r>
      <w:r w:rsidR="00536C1C">
        <w:t>21</w:t>
      </w:r>
      <w:r>
        <w:t>/201</w:t>
      </w:r>
      <w:r w:rsidR="00536C1C">
        <w:t>7</w:t>
      </w:r>
      <w:r>
        <w:t>), као и планирани расходи и издаци из исте Одлуке из извора 01 – Приходи из буџета, уз примену одговарајућих парам</w:t>
      </w:r>
      <w:r w:rsidR="00EC729D">
        <w:t>е</w:t>
      </w:r>
      <w:r>
        <w:t>тара из Фискалне стратегије за 2017-2019. године.</w:t>
      </w:r>
    </w:p>
    <w:p w:rsidR="00B66D6D" w:rsidRDefault="0070156E" w:rsidP="003871BB">
      <w:pPr>
        <w:pStyle w:val="ListParagraph"/>
        <w:ind w:left="0" w:firstLine="720"/>
      </w:pPr>
      <w:r>
        <w:t xml:space="preserve"> Пројекција прихода и примања буџета општине </w:t>
      </w:r>
      <w:r w:rsidR="00F611B8">
        <w:t>Ћићевац</w:t>
      </w:r>
      <w:r>
        <w:t xml:space="preserve"> за период 201</w:t>
      </w:r>
      <w:r w:rsidR="00CF4C0F">
        <w:t>9</w:t>
      </w:r>
      <w:r>
        <w:t>-202</w:t>
      </w:r>
      <w:r w:rsidR="00CF4C0F">
        <w:t>1</w:t>
      </w:r>
      <w:r>
        <w:t xml:space="preserve">. године, извршена је на следећи начин у динарима: </w:t>
      </w:r>
    </w:p>
    <w:p w:rsidR="00536C1C" w:rsidRDefault="00536C1C" w:rsidP="003871BB">
      <w:pPr>
        <w:pStyle w:val="ListParagraph"/>
        <w:ind w:left="0" w:firstLine="720"/>
      </w:pPr>
    </w:p>
    <w:p w:rsidR="00536C1C" w:rsidRPr="00536C1C" w:rsidRDefault="00536C1C" w:rsidP="003871BB">
      <w:pPr>
        <w:pStyle w:val="ListParagraph"/>
        <w:ind w:left="0" w:firstLine="720"/>
      </w:pPr>
    </w:p>
    <w:p w:rsidR="00B66D6D" w:rsidRPr="00B66D6D" w:rsidRDefault="00B66D6D" w:rsidP="003871BB">
      <w:pPr>
        <w:pStyle w:val="ListParagraph"/>
        <w:ind w:left="0" w:firstLine="720"/>
      </w:pPr>
    </w:p>
    <w:p w:rsidR="00B66D6D" w:rsidRDefault="0070156E" w:rsidP="00B66D6D">
      <w:pPr>
        <w:pStyle w:val="ListParagraph"/>
        <w:ind w:left="0" w:firstLine="720"/>
      </w:pPr>
      <w:r>
        <w:lastRenderedPageBreak/>
        <w:t>Табела: Пројекција прихода и примања за 201</w:t>
      </w:r>
      <w:r w:rsidR="00CF4C0F">
        <w:t>9</w:t>
      </w:r>
      <w:r>
        <w:t>-202</w:t>
      </w:r>
      <w:r w:rsidR="00CF4C0F">
        <w:t>1</w:t>
      </w:r>
      <w:r>
        <w:t>.</w:t>
      </w:r>
    </w:p>
    <w:p w:rsidR="00817D20" w:rsidRDefault="00817D20" w:rsidP="00B66D6D">
      <w:pPr>
        <w:pStyle w:val="ListParagraph"/>
        <w:ind w:left="0" w:firstLine="720"/>
      </w:pPr>
    </w:p>
    <w:p w:rsidR="00817D20" w:rsidRDefault="00817D20" w:rsidP="00B66D6D">
      <w:pPr>
        <w:pStyle w:val="ListParagraph"/>
        <w:ind w:left="0" w:firstLine="720"/>
      </w:pPr>
    </w:p>
    <w:tbl>
      <w:tblPr>
        <w:tblStyle w:val="TableGrid"/>
        <w:tblW w:w="0" w:type="auto"/>
        <w:tblLook w:val="04A0"/>
      </w:tblPr>
      <w:tblGrid>
        <w:gridCol w:w="716"/>
        <w:gridCol w:w="2966"/>
        <w:gridCol w:w="1473"/>
        <w:gridCol w:w="1473"/>
        <w:gridCol w:w="1475"/>
      </w:tblGrid>
      <w:tr w:rsidR="00D82AF5" w:rsidTr="00D82AF5">
        <w:trPr>
          <w:trHeight w:val="260"/>
        </w:trPr>
        <w:tc>
          <w:tcPr>
            <w:tcW w:w="716" w:type="dxa"/>
            <w:vMerge w:val="restart"/>
          </w:tcPr>
          <w:p w:rsidR="00D82AF5" w:rsidRDefault="00D82AF5" w:rsidP="00B66D6D">
            <w:pPr>
              <w:pStyle w:val="ListParagraph"/>
              <w:ind w:left="0"/>
            </w:pPr>
            <w:r>
              <w:t>Екон.</w:t>
            </w:r>
          </w:p>
          <w:p w:rsidR="00D82AF5" w:rsidRPr="00D82AF5" w:rsidRDefault="00D82AF5" w:rsidP="00B66D6D">
            <w:pPr>
              <w:pStyle w:val="ListParagraph"/>
              <w:ind w:left="0"/>
            </w:pPr>
            <w:r>
              <w:t>клас.</w:t>
            </w:r>
          </w:p>
        </w:tc>
        <w:tc>
          <w:tcPr>
            <w:tcW w:w="2966" w:type="dxa"/>
            <w:vMerge w:val="restart"/>
          </w:tcPr>
          <w:p w:rsidR="00D82AF5" w:rsidRPr="00D82AF5" w:rsidRDefault="00D82AF5" w:rsidP="00D82AF5">
            <w:pPr>
              <w:pStyle w:val="ListParagraph"/>
              <w:ind w:left="0"/>
              <w:jc w:val="center"/>
            </w:pPr>
            <w:r>
              <w:t>Врста прихода</w:t>
            </w:r>
          </w:p>
        </w:tc>
        <w:tc>
          <w:tcPr>
            <w:tcW w:w="4421" w:type="dxa"/>
            <w:gridSpan w:val="3"/>
            <w:tcBorders>
              <w:bottom w:val="single" w:sz="4" w:space="0" w:color="auto"/>
            </w:tcBorders>
          </w:tcPr>
          <w:p w:rsidR="00D82AF5" w:rsidRPr="00A46CAB" w:rsidRDefault="00A46CAB" w:rsidP="00A46CAB">
            <w:pPr>
              <w:pStyle w:val="ListParagraph"/>
              <w:ind w:left="0"/>
              <w:jc w:val="center"/>
            </w:pPr>
            <w:r>
              <w:t>Пројекција за</w:t>
            </w:r>
          </w:p>
        </w:tc>
      </w:tr>
      <w:tr w:rsidR="00D82AF5" w:rsidTr="00D82AF5">
        <w:trPr>
          <w:trHeight w:val="272"/>
        </w:trPr>
        <w:tc>
          <w:tcPr>
            <w:tcW w:w="716" w:type="dxa"/>
            <w:vMerge/>
          </w:tcPr>
          <w:p w:rsidR="00D82AF5" w:rsidRDefault="00D82AF5" w:rsidP="00B66D6D">
            <w:pPr>
              <w:pStyle w:val="ListParagraph"/>
              <w:ind w:left="0"/>
            </w:pPr>
          </w:p>
        </w:tc>
        <w:tc>
          <w:tcPr>
            <w:tcW w:w="2966" w:type="dxa"/>
            <w:vMerge/>
          </w:tcPr>
          <w:p w:rsidR="00D82AF5" w:rsidRDefault="00D82AF5" w:rsidP="00B66D6D">
            <w:pPr>
              <w:pStyle w:val="ListParagraph"/>
              <w:ind w:left="0"/>
            </w:pPr>
          </w:p>
        </w:tc>
        <w:tc>
          <w:tcPr>
            <w:tcW w:w="1473" w:type="dxa"/>
            <w:tcBorders>
              <w:top w:val="single" w:sz="4" w:space="0" w:color="auto"/>
              <w:right w:val="single" w:sz="4" w:space="0" w:color="auto"/>
            </w:tcBorders>
          </w:tcPr>
          <w:p w:rsidR="00D82AF5" w:rsidRPr="00CF4C0F" w:rsidRDefault="00A46CAB" w:rsidP="00CF4C0F">
            <w:pPr>
              <w:pStyle w:val="ListParagraph"/>
              <w:ind w:left="0"/>
              <w:jc w:val="center"/>
            </w:pPr>
            <w:r>
              <w:t>201</w:t>
            </w:r>
            <w:r w:rsidR="00CF4C0F">
              <w:t>9</w:t>
            </w:r>
          </w:p>
        </w:tc>
        <w:tc>
          <w:tcPr>
            <w:tcW w:w="2948" w:type="dxa"/>
            <w:gridSpan w:val="2"/>
            <w:tcBorders>
              <w:top w:val="single" w:sz="4" w:space="0" w:color="auto"/>
              <w:left w:val="single" w:sz="4" w:space="0" w:color="auto"/>
            </w:tcBorders>
          </w:tcPr>
          <w:p w:rsidR="00D82AF5" w:rsidRPr="00CF4C0F" w:rsidRDefault="00CF4C0F" w:rsidP="00CF4C0F">
            <w:pPr>
              <w:pStyle w:val="ListParagraph"/>
              <w:ind w:left="0"/>
              <w:jc w:val="center"/>
            </w:pPr>
            <w:r>
              <w:t>2020</w:t>
            </w:r>
            <w:r w:rsidR="00A46CAB">
              <w:t xml:space="preserve">                           202</w:t>
            </w:r>
            <w:r>
              <w:t>1</w:t>
            </w:r>
          </w:p>
        </w:tc>
      </w:tr>
      <w:tr w:rsidR="00D82AF5" w:rsidTr="00D82AF5">
        <w:tc>
          <w:tcPr>
            <w:tcW w:w="716" w:type="dxa"/>
          </w:tcPr>
          <w:p w:rsidR="00D82AF5" w:rsidRPr="00D82AF5" w:rsidRDefault="00D82AF5" w:rsidP="00B66D6D">
            <w:pPr>
              <w:pStyle w:val="ListParagraph"/>
              <w:ind w:left="0"/>
            </w:pPr>
            <w:r>
              <w:t>71</w:t>
            </w:r>
          </w:p>
        </w:tc>
        <w:tc>
          <w:tcPr>
            <w:tcW w:w="2966" w:type="dxa"/>
          </w:tcPr>
          <w:p w:rsidR="00D82AF5" w:rsidRPr="00A46CAB" w:rsidRDefault="00A46CAB" w:rsidP="00B66D6D">
            <w:pPr>
              <w:pStyle w:val="ListParagraph"/>
              <w:ind w:left="0"/>
            </w:pPr>
            <w:r>
              <w:t>Порези</w:t>
            </w:r>
          </w:p>
        </w:tc>
        <w:tc>
          <w:tcPr>
            <w:tcW w:w="1473" w:type="dxa"/>
            <w:tcBorders>
              <w:right w:val="single" w:sz="4" w:space="0" w:color="auto"/>
            </w:tcBorders>
          </w:tcPr>
          <w:p w:rsidR="00D82AF5" w:rsidRPr="00795F5D" w:rsidRDefault="00795F5D" w:rsidP="000E2A0E">
            <w:pPr>
              <w:pStyle w:val="ListParagraph"/>
              <w:ind w:left="0"/>
              <w:jc w:val="right"/>
            </w:pPr>
            <w:r>
              <w:t>1</w:t>
            </w:r>
            <w:r w:rsidR="000E2A0E">
              <w:t>5</w:t>
            </w:r>
            <w:r>
              <w:t>0.000.000</w:t>
            </w:r>
          </w:p>
        </w:tc>
        <w:tc>
          <w:tcPr>
            <w:tcW w:w="1473" w:type="dxa"/>
            <w:tcBorders>
              <w:left w:val="single" w:sz="4" w:space="0" w:color="auto"/>
            </w:tcBorders>
          </w:tcPr>
          <w:p w:rsidR="00D82AF5" w:rsidRPr="000E2A0E" w:rsidRDefault="000E2A0E" w:rsidP="000E2A0E">
            <w:pPr>
              <w:pStyle w:val="ListParagraph"/>
              <w:ind w:left="0"/>
              <w:jc w:val="right"/>
            </w:pPr>
            <w:r>
              <w:t>140.000.000</w:t>
            </w:r>
          </w:p>
        </w:tc>
        <w:tc>
          <w:tcPr>
            <w:tcW w:w="1475" w:type="dxa"/>
          </w:tcPr>
          <w:p w:rsidR="00D82AF5" w:rsidRPr="000E2A0E" w:rsidRDefault="000E2A0E" w:rsidP="000E2A0E">
            <w:pPr>
              <w:pStyle w:val="ListParagraph"/>
              <w:ind w:left="0"/>
              <w:jc w:val="right"/>
            </w:pPr>
            <w:r>
              <w:t>140.000.000</w:t>
            </w:r>
          </w:p>
        </w:tc>
      </w:tr>
      <w:tr w:rsidR="00D82AF5" w:rsidTr="00D82AF5">
        <w:tc>
          <w:tcPr>
            <w:tcW w:w="716" w:type="dxa"/>
          </w:tcPr>
          <w:p w:rsidR="00D82AF5" w:rsidRPr="00D82AF5" w:rsidRDefault="00D82AF5" w:rsidP="00B66D6D">
            <w:pPr>
              <w:pStyle w:val="ListParagraph"/>
              <w:ind w:left="0"/>
            </w:pPr>
            <w:r>
              <w:t>73</w:t>
            </w:r>
          </w:p>
        </w:tc>
        <w:tc>
          <w:tcPr>
            <w:tcW w:w="2966" w:type="dxa"/>
          </w:tcPr>
          <w:p w:rsidR="00D82AF5" w:rsidRPr="00A46CAB" w:rsidRDefault="00A46CAB" w:rsidP="00B66D6D">
            <w:pPr>
              <w:pStyle w:val="ListParagraph"/>
              <w:ind w:left="0"/>
            </w:pPr>
            <w:r>
              <w:t>Донације и трансфери</w:t>
            </w:r>
          </w:p>
        </w:tc>
        <w:tc>
          <w:tcPr>
            <w:tcW w:w="1473" w:type="dxa"/>
            <w:tcBorders>
              <w:right w:val="single" w:sz="4" w:space="0" w:color="auto"/>
            </w:tcBorders>
          </w:tcPr>
          <w:p w:rsidR="00D82AF5" w:rsidRPr="00795F5D" w:rsidRDefault="00795F5D" w:rsidP="000E2A0E">
            <w:pPr>
              <w:pStyle w:val="ListParagraph"/>
              <w:ind w:left="0"/>
              <w:jc w:val="right"/>
            </w:pPr>
            <w:r>
              <w:t>1</w:t>
            </w:r>
            <w:r w:rsidR="000E2A0E">
              <w:t>3</w:t>
            </w:r>
            <w:r>
              <w:t>0.000.000</w:t>
            </w:r>
          </w:p>
        </w:tc>
        <w:tc>
          <w:tcPr>
            <w:tcW w:w="1473" w:type="dxa"/>
            <w:tcBorders>
              <w:left w:val="single" w:sz="4" w:space="0" w:color="auto"/>
            </w:tcBorders>
          </w:tcPr>
          <w:p w:rsidR="00D82AF5" w:rsidRPr="000E2A0E" w:rsidRDefault="000E2A0E" w:rsidP="000E2A0E">
            <w:pPr>
              <w:pStyle w:val="ListParagraph"/>
              <w:ind w:left="0"/>
              <w:jc w:val="right"/>
            </w:pPr>
            <w:r>
              <w:t>120.000.000</w:t>
            </w:r>
          </w:p>
        </w:tc>
        <w:tc>
          <w:tcPr>
            <w:tcW w:w="1475" w:type="dxa"/>
          </w:tcPr>
          <w:p w:rsidR="00D82AF5" w:rsidRPr="000E2A0E" w:rsidRDefault="000E2A0E" w:rsidP="000E2A0E">
            <w:pPr>
              <w:pStyle w:val="ListParagraph"/>
              <w:ind w:left="0"/>
              <w:jc w:val="right"/>
            </w:pPr>
            <w:r>
              <w:t>120.000.000</w:t>
            </w:r>
          </w:p>
        </w:tc>
      </w:tr>
      <w:tr w:rsidR="00D82AF5" w:rsidTr="00D82AF5">
        <w:tc>
          <w:tcPr>
            <w:tcW w:w="716" w:type="dxa"/>
          </w:tcPr>
          <w:p w:rsidR="00D82AF5" w:rsidRPr="00D82AF5" w:rsidRDefault="00D82AF5" w:rsidP="00B66D6D">
            <w:pPr>
              <w:pStyle w:val="ListParagraph"/>
              <w:ind w:left="0"/>
            </w:pPr>
            <w:r>
              <w:t>74</w:t>
            </w:r>
          </w:p>
        </w:tc>
        <w:tc>
          <w:tcPr>
            <w:tcW w:w="2966" w:type="dxa"/>
          </w:tcPr>
          <w:p w:rsidR="00D82AF5" w:rsidRPr="00A46CAB" w:rsidRDefault="00A46CAB" w:rsidP="00B66D6D">
            <w:pPr>
              <w:pStyle w:val="ListParagraph"/>
              <w:ind w:left="0"/>
            </w:pPr>
            <w:r>
              <w:t>Други приходи</w:t>
            </w:r>
          </w:p>
        </w:tc>
        <w:tc>
          <w:tcPr>
            <w:tcW w:w="1473" w:type="dxa"/>
          </w:tcPr>
          <w:p w:rsidR="00D82AF5" w:rsidRPr="00795F5D" w:rsidRDefault="003D14A5" w:rsidP="000E2A0E">
            <w:pPr>
              <w:pStyle w:val="ListParagraph"/>
              <w:ind w:left="0"/>
              <w:jc w:val="right"/>
            </w:pPr>
            <w:r>
              <w:t>19</w:t>
            </w:r>
            <w:r w:rsidR="00795F5D">
              <w:t>.000.000</w:t>
            </w:r>
          </w:p>
        </w:tc>
        <w:tc>
          <w:tcPr>
            <w:tcW w:w="1473" w:type="dxa"/>
          </w:tcPr>
          <w:p w:rsidR="00D82AF5" w:rsidRPr="000E2A0E" w:rsidRDefault="000E2A0E" w:rsidP="000E2A0E">
            <w:pPr>
              <w:pStyle w:val="ListParagraph"/>
              <w:ind w:left="0"/>
              <w:jc w:val="right"/>
            </w:pPr>
            <w:r>
              <w:t>18.000.000</w:t>
            </w:r>
          </w:p>
        </w:tc>
        <w:tc>
          <w:tcPr>
            <w:tcW w:w="1475" w:type="dxa"/>
          </w:tcPr>
          <w:p w:rsidR="00D82AF5" w:rsidRPr="000E2A0E" w:rsidRDefault="000E2A0E" w:rsidP="000E2A0E">
            <w:pPr>
              <w:pStyle w:val="ListParagraph"/>
              <w:ind w:left="0"/>
              <w:jc w:val="right"/>
            </w:pPr>
            <w:r>
              <w:t>18.000.000</w:t>
            </w:r>
          </w:p>
        </w:tc>
      </w:tr>
      <w:tr w:rsidR="00D82AF5" w:rsidTr="00D82AF5">
        <w:tc>
          <w:tcPr>
            <w:tcW w:w="716" w:type="dxa"/>
          </w:tcPr>
          <w:p w:rsidR="00D82AF5" w:rsidRPr="00D82AF5" w:rsidRDefault="00D82AF5" w:rsidP="00B66D6D">
            <w:pPr>
              <w:pStyle w:val="ListParagraph"/>
              <w:ind w:left="0"/>
            </w:pPr>
            <w:r>
              <w:t>77</w:t>
            </w:r>
          </w:p>
        </w:tc>
        <w:tc>
          <w:tcPr>
            <w:tcW w:w="2966" w:type="dxa"/>
          </w:tcPr>
          <w:p w:rsidR="00D82AF5" w:rsidRPr="00A46CAB" w:rsidRDefault="00A46CAB" w:rsidP="00B66D6D">
            <w:pPr>
              <w:pStyle w:val="ListParagraph"/>
              <w:ind w:left="0"/>
            </w:pPr>
            <w:r>
              <w:t>Меморандумске ставке</w:t>
            </w:r>
          </w:p>
        </w:tc>
        <w:tc>
          <w:tcPr>
            <w:tcW w:w="1473" w:type="dxa"/>
          </w:tcPr>
          <w:p w:rsidR="00D82AF5" w:rsidRPr="00795F5D" w:rsidRDefault="00795F5D" w:rsidP="000E2A0E">
            <w:pPr>
              <w:pStyle w:val="ListParagraph"/>
              <w:ind w:left="0"/>
              <w:jc w:val="right"/>
            </w:pPr>
            <w:r>
              <w:t>1.000.000</w:t>
            </w:r>
          </w:p>
        </w:tc>
        <w:tc>
          <w:tcPr>
            <w:tcW w:w="1473" w:type="dxa"/>
          </w:tcPr>
          <w:p w:rsidR="00D82AF5" w:rsidRPr="000E2A0E" w:rsidRDefault="000E2A0E" w:rsidP="000E2A0E">
            <w:pPr>
              <w:pStyle w:val="ListParagraph"/>
              <w:ind w:left="0"/>
              <w:jc w:val="right"/>
            </w:pPr>
            <w:r>
              <w:t>1.000.000</w:t>
            </w:r>
          </w:p>
        </w:tc>
        <w:tc>
          <w:tcPr>
            <w:tcW w:w="1475" w:type="dxa"/>
          </w:tcPr>
          <w:p w:rsidR="00D82AF5" w:rsidRPr="000E2A0E" w:rsidRDefault="000E2A0E" w:rsidP="000E2A0E">
            <w:pPr>
              <w:pStyle w:val="ListParagraph"/>
              <w:ind w:left="0"/>
              <w:jc w:val="right"/>
            </w:pPr>
            <w:r>
              <w:t>1.000.000</w:t>
            </w:r>
          </w:p>
        </w:tc>
      </w:tr>
      <w:tr w:rsidR="00D82AF5" w:rsidTr="00D82AF5">
        <w:tc>
          <w:tcPr>
            <w:tcW w:w="716" w:type="dxa"/>
          </w:tcPr>
          <w:p w:rsidR="00D82AF5" w:rsidRPr="00D82AF5" w:rsidRDefault="00D82AF5" w:rsidP="00B66D6D">
            <w:pPr>
              <w:pStyle w:val="ListParagraph"/>
              <w:ind w:left="0"/>
            </w:pPr>
            <w:r>
              <w:t>8</w:t>
            </w:r>
          </w:p>
        </w:tc>
        <w:tc>
          <w:tcPr>
            <w:tcW w:w="2966" w:type="dxa"/>
          </w:tcPr>
          <w:p w:rsidR="00D82AF5" w:rsidRPr="00A46CAB" w:rsidRDefault="00A46CAB" w:rsidP="00B66D6D">
            <w:pPr>
              <w:pStyle w:val="ListParagraph"/>
              <w:ind w:left="0"/>
            </w:pPr>
            <w:r>
              <w:t>Примања од продаје нефинансијске имовине</w:t>
            </w:r>
          </w:p>
        </w:tc>
        <w:tc>
          <w:tcPr>
            <w:tcW w:w="1473" w:type="dxa"/>
          </w:tcPr>
          <w:p w:rsidR="00D82AF5" w:rsidRPr="00795F5D" w:rsidRDefault="00795F5D" w:rsidP="000E2A0E">
            <w:pPr>
              <w:pStyle w:val="ListParagraph"/>
              <w:ind w:left="0"/>
              <w:jc w:val="right"/>
            </w:pPr>
            <w:r>
              <w:t>2.000.000</w:t>
            </w:r>
          </w:p>
        </w:tc>
        <w:tc>
          <w:tcPr>
            <w:tcW w:w="1473" w:type="dxa"/>
          </w:tcPr>
          <w:p w:rsidR="00D82AF5" w:rsidRPr="000E2A0E" w:rsidRDefault="000E2A0E" w:rsidP="000E2A0E">
            <w:pPr>
              <w:pStyle w:val="ListParagraph"/>
              <w:ind w:left="0"/>
              <w:jc w:val="right"/>
            </w:pPr>
            <w:r>
              <w:t>1.000.000</w:t>
            </w:r>
          </w:p>
        </w:tc>
        <w:tc>
          <w:tcPr>
            <w:tcW w:w="1475" w:type="dxa"/>
          </w:tcPr>
          <w:p w:rsidR="00D82AF5" w:rsidRPr="000E2A0E" w:rsidRDefault="000E2A0E" w:rsidP="000E2A0E">
            <w:pPr>
              <w:pStyle w:val="ListParagraph"/>
              <w:ind w:left="0"/>
              <w:jc w:val="right"/>
            </w:pPr>
            <w:r>
              <w:t>1.000.000</w:t>
            </w:r>
          </w:p>
        </w:tc>
      </w:tr>
      <w:tr w:rsidR="00D82AF5" w:rsidTr="00D82AF5">
        <w:tc>
          <w:tcPr>
            <w:tcW w:w="716" w:type="dxa"/>
          </w:tcPr>
          <w:p w:rsidR="00D82AF5" w:rsidRPr="00D82AF5" w:rsidRDefault="00D82AF5" w:rsidP="00B66D6D">
            <w:pPr>
              <w:pStyle w:val="ListParagraph"/>
              <w:ind w:left="0"/>
            </w:pPr>
            <w:r>
              <w:t>9</w:t>
            </w:r>
          </w:p>
        </w:tc>
        <w:tc>
          <w:tcPr>
            <w:tcW w:w="2966" w:type="dxa"/>
          </w:tcPr>
          <w:p w:rsidR="00D82AF5" w:rsidRPr="00A46CAB" w:rsidRDefault="00A46CAB" w:rsidP="00B66D6D">
            <w:pPr>
              <w:pStyle w:val="ListParagraph"/>
              <w:ind w:left="0"/>
            </w:pPr>
            <w:r>
              <w:t>Примања од задуживање</w:t>
            </w:r>
          </w:p>
        </w:tc>
        <w:tc>
          <w:tcPr>
            <w:tcW w:w="1473" w:type="dxa"/>
          </w:tcPr>
          <w:p w:rsidR="00D82AF5" w:rsidRPr="00795F5D" w:rsidRDefault="00795F5D" w:rsidP="000E2A0E">
            <w:pPr>
              <w:pStyle w:val="ListParagraph"/>
              <w:ind w:left="0"/>
              <w:jc w:val="right"/>
            </w:pPr>
            <w:r>
              <w:t>30.000.000</w:t>
            </w:r>
          </w:p>
        </w:tc>
        <w:tc>
          <w:tcPr>
            <w:tcW w:w="1473" w:type="dxa"/>
          </w:tcPr>
          <w:p w:rsidR="00D82AF5" w:rsidRPr="000E2A0E" w:rsidRDefault="000E2A0E" w:rsidP="000E2A0E">
            <w:pPr>
              <w:pStyle w:val="ListParagraph"/>
              <w:ind w:left="0"/>
              <w:jc w:val="right"/>
            </w:pPr>
            <w:r>
              <w:t>20.000.000</w:t>
            </w:r>
          </w:p>
        </w:tc>
        <w:tc>
          <w:tcPr>
            <w:tcW w:w="1475" w:type="dxa"/>
          </w:tcPr>
          <w:p w:rsidR="00D82AF5" w:rsidRPr="000E2A0E" w:rsidRDefault="000E2A0E" w:rsidP="000E2A0E">
            <w:pPr>
              <w:pStyle w:val="ListParagraph"/>
              <w:ind w:left="0"/>
              <w:jc w:val="right"/>
            </w:pPr>
            <w:r>
              <w:t>20.000.000</w:t>
            </w:r>
          </w:p>
        </w:tc>
      </w:tr>
      <w:tr w:rsidR="00E613D3" w:rsidTr="00D82AF5">
        <w:tc>
          <w:tcPr>
            <w:tcW w:w="716" w:type="dxa"/>
          </w:tcPr>
          <w:p w:rsidR="00E613D3" w:rsidRDefault="00E613D3" w:rsidP="00B66D6D">
            <w:pPr>
              <w:pStyle w:val="ListParagraph"/>
              <w:ind w:left="0"/>
            </w:pPr>
          </w:p>
        </w:tc>
        <w:tc>
          <w:tcPr>
            <w:tcW w:w="2966" w:type="dxa"/>
          </w:tcPr>
          <w:p w:rsidR="00E613D3" w:rsidRPr="00E613D3" w:rsidRDefault="00E613D3" w:rsidP="00B66D6D">
            <w:pPr>
              <w:pStyle w:val="ListParagraph"/>
              <w:ind w:left="0"/>
            </w:pPr>
            <w:r>
              <w:t>Укупни приходи и примања:</w:t>
            </w:r>
          </w:p>
        </w:tc>
        <w:tc>
          <w:tcPr>
            <w:tcW w:w="1473" w:type="dxa"/>
          </w:tcPr>
          <w:p w:rsidR="00E613D3" w:rsidRPr="000E2A0E" w:rsidRDefault="000E2A0E" w:rsidP="003D14A5">
            <w:pPr>
              <w:pStyle w:val="ListParagraph"/>
              <w:ind w:left="0"/>
              <w:jc w:val="right"/>
            </w:pPr>
            <w:r>
              <w:t>33</w:t>
            </w:r>
            <w:r w:rsidR="003D14A5">
              <w:t>2</w:t>
            </w:r>
            <w:r>
              <w:t>.000.000</w:t>
            </w:r>
          </w:p>
        </w:tc>
        <w:tc>
          <w:tcPr>
            <w:tcW w:w="1473" w:type="dxa"/>
          </w:tcPr>
          <w:p w:rsidR="00E613D3" w:rsidRPr="000E2A0E" w:rsidRDefault="000E2A0E" w:rsidP="000E2A0E">
            <w:pPr>
              <w:pStyle w:val="ListParagraph"/>
              <w:ind w:left="0"/>
              <w:jc w:val="right"/>
            </w:pPr>
            <w:r>
              <w:t>300.000.000</w:t>
            </w:r>
          </w:p>
        </w:tc>
        <w:tc>
          <w:tcPr>
            <w:tcW w:w="1475" w:type="dxa"/>
          </w:tcPr>
          <w:p w:rsidR="00E613D3" w:rsidRPr="000E2A0E" w:rsidRDefault="000E2A0E" w:rsidP="000E2A0E">
            <w:pPr>
              <w:pStyle w:val="ListParagraph"/>
              <w:ind w:left="0"/>
              <w:jc w:val="right"/>
            </w:pPr>
            <w:r>
              <w:t>300.000.000</w:t>
            </w:r>
          </w:p>
        </w:tc>
      </w:tr>
    </w:tbl>
    <w:p w:rsidR="00B66D6D" w:rsidRDefault="00B66D6D" w:rsidP="00B66D6D">
      <w:pPr>
        <w:pStyle w:val="ListParagraph"/>
        <w:ind w:left="0" w:firstLine="720"/>
      </w:pPr>
    </w:p>
    <w:p w:rsidR="00B66D6D" w:rsidRDefault="00B66D6D" w:rsidP="00B66D6D">
      <w:pPr>
        <w:pStyle w:val="ListParagraph"/>
        <w:ind w:left="0" w:firstLine="720"/>
      </w:pPr>
    </w:p>
    <w:p w:rsidR="00B66D6D" w:rsidRDefault="00B66D6D" w:rsidP="00B66D6D">
      <w:pPr>
        <w:pStyle w:val="ListParagraph"/>
        <w:ind w:left="0" w:firstLine="720"/>
      </w:pPr>
    </w:p>
    <w:p w:rsidR="00B66D6D" w:rsidRDefault="0070156E" w:rsidP="00B66D6D">
      <w:pPr>
        <w:pStyle w:val="ListParagraph"/>
        <w:ind w:left="0" w:firstLine="720"/>
      </w:pPr>
      <w:r>
        <w:t xml:space="preserve">Пројекција расхода и издатака буџета општине </w:t>
      </w:r>
      <w:r w:rsidR="00817D20">
        <w:t xml:space="preserve">Ћићевац </w:t>
      </w:r>
      <w:r>
        <w:t xml:space="preserve"> за период 201</w:t>
      </w:r>
      <w:r w:rsidR="00CF4C0F">
        <w:t>9</w:t>
      </w:r>
      <w:r>
        <w:t>-20</w:t>
      </w:r>
      <w:r w:rsidR="00817D20">
        <w:t>2</w:t>
      </w:r>
      <w:r w:rsidR="00CF4C0F">
        <w:t>1</w:t>
      </w:r>
      <w:r>
        <w:t xml:space="preserve">. године, извршена је на следећи начин у динарима: </w:t>
      </w:r>
    </w:p>
    <w:p w:rsidR="00E613D3" w:rsidRPr="00E613D3" w:rsidRDefault="00E613D3" w:rsidP="00B66D6D">
      <w:pPr>
        <w:pStyle w:val="ListParagraph"/>
        <w:ind w:left="0" w:firstLine="720"/>
      </w:pPr>
    </w:p>
    <w:p w:rsidR="00B66D6D" w:rsidRDefault="0070156E" w:rsidP="00B66D6D">
      <w:pPr>
        <w:pStyle w:val="ListParagraph"/>
        <w:ind w:left="0" w:firstLine="720"/>
      </w:pPr>
      <w:r>
        <w:t>Табела: Пројекција расхода и издатака за 201</w:t>
      </w:r>
      <w:r w:rsidR="00CF4C0F">
        <w:t>9</w:t>
      </w:r>
      <w:r>
        <w:t>-202</w:t>
      </w:r>
      <w:r w:rsidR="00CF4C0F">
        <w:t>1</w:t>
      </w:r>
      <w:r>
        <w:t>.</w:t>
      </w:r>
    </w:p>
    <w:p w:rsidR="00B66D6D" w:rsidRPr="00817D20" w:rsidRDefault="00B66D6D" w:rsidP="00B66D6D">
      <w:pPr>
        <w:pStyle w:val="ListParagraph"/>
        <w:ind w:left="0" w:firstLine="720"/>
      </w:pPr>
    </w:p>
    <w:tbl>
      <w:tblPr>
        <w:tblStyle w:val="TableGrid"/>
        <w:tblW w:w="0" w:type="auto"/>
        <w:tblLook w:val="04A0"/>
      </w:tblPr>
      <w:tblGrid>
        <w:gridCol w:w="772"/>
        <w:gridCol w:w="2976"/>
        <w:gridCol w:w="1481"/>
        <w:gridCol w:w="1481"/>
        <w:gridCol w:w="1483"/>
      </w:tblGrid>
      <w:tr w:rsidR="00D82AF5" w:rsidTr="00C438D9">
        <w:trPr>
          <w:trHeight w:val="260"/>
        </w:trPr>
        <w:tc>
          <w:tcPr>
            <w:tcW w:w="772" w:type="dxa"/>
            <w:vMerge w:val="restart"/>
          </w:tcPr>
          <w:p w:rsidR="00E613D3" w:rsidRDefault="00E613D3" w:rsidP="00EE6353">
            <w:pPr>
              <w:pStyle w:val="ListParagraph"/>
              <w:ind w:left="0"/>
            </w:pPr>
            <w:r>
              <w:t>Ек.</w:t>
            </w:r>
          </w:p>
          <w:p w:rsidR="00E613D3" w:rsidRPr="00E613D3" w:rsidRDefault="00E613D3" w:rsidP="00EE6353">
            <w:pPr>
              <w:pStyle w:val="ListParagraph"/>
              <w:ind w:left="0"/>
            </w:pPr>
            <w:r>
              <w:t>клас.</w:t>
            </w:r>
          </w:p>
        </w:tc>
        <w:tc>
          <w:tcPr>
            <w:tcW w:w="2976" w:type="dxa"/>
            <w:vMerge w:val="restart"/>
          </w:tcPr>
          <w:p w:rsidR="00D82AF5" w:rsidRPr="00E613D3" w:rsidRDefault="00E613D3" w:rsidP="00E613D3">
            <w:pPr>
              <w:pStyle w:val="ListParagraph"/>
              <w:ind w:left="0"/>
              <w:jc w:val="center"/>
            </w:pPr>
            <w:r>
              <w:t>Опис</w:t>
            </w:r>
          </w:p>
        </w:tc>
        <w:tc>
          <w:tcPr>
            <w:tcW w:w="4445" w:type="dxa"/>
            <w:gridSpan w:val="3"/>
            <w:tcBorders>
              <w:bottom w:val="single" w:sz="4" w:space="0" w:color="auto"/>
            </w:tcBorders>
          </w:tcPr>
          <w:p w:rsidR="00D82AF5" w:rsidRPr="00E613D3" w:rsidRDefault="00E613D3" w:rsidP="00E613D3">
            <w:pPr>
              <w:pStyle w:val="ListParagraph"/>
              <w:ind w:left="0"/>
              <w:jc w:val="center"/>
            </w:pPr>
            <w:r>
              <w:t>Пројекција за</w:t>
            </w:r>
          </w:p>
        </w:tc>
      </w:tr>
      <w:tr w:rsidR="00D82AF5" w:rsidTr="00C438D9">
        <w:trPr>
          <w:trHeight w:val="272"/>
        </w:trPr>
        <w:tc>
          <w:tcPr>
            <w:tcW w:w="772" w:type="dxa"/>
            <w:vMerge/>
          </w:tcPr>
          <w:p w:rsidR="00D82AF5" w:rsidRDefault="00D82AF5" w:rsidP="00EE6353">
            <w:pPr>
              <w:pStyle w:val="ListParagraph"/>
              <w:ind w:left="0"/>
            </w:pPr>
          </w:p>
        </w:tc>
        <w:tc>
          <w:tcPr>
            <w:tcW w:w="2976" w:type="dxa"/>
            <w:vMerge/>
          </w:tcPr>
          <w:p w:rsidR="00D82AF5" w:rsidRDefault="00D82AF5" w:rsidP="00EE6353">
            <w:pPr>
              <w:pStyle w:val="ListParagraph"/>
              <w:ind w:left="0"/>
            </w:pPr>
          </w:p>
        </w:tc>
        <w:tc>
          <w:tcPr>
            <w:tcW w:w="1481" w:type="dxa"/>
            <w:tcBorders>
              <w:top w:val="single" w:sz="4" w:space="0" w:color="auto"/>
              <w:right w:val="single" w:sz="4" w:space="0" w:color="auto"/>
            </w:tcBorders>
          </w:tcPr>
          <w:p w:rsidR="00D82AF5" w:rsidRPr="00CF4C0F" w:rsidRDefault="00E613D3" w:rsidP="00CF4C0F">
            <w:pPr>
              <w:pStyle w:val="ListParagraph"/>
              <w:ind w:left="0"/>
              <w:jc w:val="center"/>
            </w:pPr>
            <w:r>
              <w:t>201</w:t>
            </w:r>
            <w:r w:rsidR="00CF4C0F">
              <w:t>9</w:t>
            </w:r>
          </w:p>
        </w:tc>
        <w:tc>
          <w:tcPr>
            <w:tcW w:w="2964" w:type="dxa"/>
            <w:gridSpan w:val="2"/>
            <w:tcBorders>
              <w:top w:val="single" w:sz="4" w:space="0" w:color="auto"/>
              <w:left w:val="single" w:sz="4" w:space="0" w:color="auto"/>
            </w:tcBorders>
          </w:tcPr>
          <w:p w:rsidR="00D82AF5" w:rsidRPr="00CF4C0F" w:rsidRDefault="00CF4C0F" w:rsidP="00CF4C0F">
            <w:pPr>
              <w:pStyle w:val="ListParagraph"/>
              <w:ind w:left="0"/>
              <w:jc w:val="center"/>
            </w:pPr>
            <w:r>
              <w:t>2020</w:t>
            </w:r>
            <w:r w:rsidR="00E613D3">
              <w:t xml:space="preserve">                          202</w:t>
            </w:r>
            <w:r>
              <w:t>1</w:t>
            </w:r>
          </w:p>
        </w:tc>
      </w:tr>
      <w:tr w:rsidR="00D82AF5" w:rsidTr="00C438D9">
        <w:tc>
          <w:tcPr>
            <w:tcW w:w="772" w:type="dxa"/>
          </w:tcPr>
          <w:p w:rsidR="00D82AF5" w:rsidRPr="00E613D3" w:rsidRDefault="00E613D3" w:rsidP="00EE6353">
            <w:pPr>
              <w:pStyle w:val="ListParagraph"/>
              <w:ind w:left="0"/>
            </w:pPr>
            <w:r>
              <w:t>41</w:t>
            </w:r>
          </w:p>
        </w:tc>
        <w:tc>
          <w:tcPr>
            <w:tcW w:w="2976" w:type="dxa"/>
          </w:tcPr>
          <w:p w:rsidR="00D82AF5" w:rsidRPr="00E613D3" w:rsidRDefault="00E613D3" w:rsidP="00EE6353">
            <w:pPr>
              <w:pStyle w:val="ListParagraph"/>
              <w:ind w:left="0"/>
            </w:pPr>
            <w:r>
              <w:t>Расходи за запослене</w:t>
            </w:r>
          </w:p>
        </w:tc>
        <w:tc>
          <w:tcPr>
            <w:tcW w:w="1481" w:type="dxa"/>
            <w:tcBorders>
              <w:right w:val="single" w:sz="4" w:space="0" w:color="auto"/>
            </w:tcBorders>
          </w:tcPr>
          <w:p w:rsidR="00D82AF5" w:rsidRPr="005A7077" w:rsidRDefault="00660252" w:rsidP="005104F3">
            <w:pPr>
              <w:pStyle w:val="ListParagraph"/>
              <w:ind w:left="0"/>
              <w:jc w:val="right"/>
            </w:pPr>
            <w:r>
              <w:t>110.000.000</w:t>
            </w:r>
          </w:p>
        </w:tc>
        <w:tc>
          <w:tcPr>
            <w:tcW w:w="1481" w:type="dxa"/>
            <w:tcBorders>
              <w:left w:val="single" w:sz="4" w:space="0" w:color="auto"/>
            </w:tcBorders>
          </w:tcPr>
          <w:p w:rsidR="00D82AF5" w:rsidRDefault="005104F3" w:rsidP="005104F3">
            <w:pPr>
              <w:pStyle w:val="ListParagraph"/>
              <w:ind w:left="0"/>
              <w:jc w:val="right"/>
            </w:pPr>
            <w:r>
              <w:t>100.000.000</w:t>
            </w:r>
          </w:p>
        </w:tc>
        <w:tc>
          <w:tcPr>
            <w:tcW w:w="1483" w:type="dxa"/>
          </w:tcPr>
          <w:p w:rsidR="00D82AF5" w:rsidRDefault="005104F3" w:rsidP="005104F3">
            <w:pPr>
              <w:pStyle w:val="ListParagraph"/>
              <w:ind w:left="0"/>
              <w:jc w:val="right"/>
            </w:pPr>
            <w:r>
              <w:t>100.000.000</w:t>
            </w:r>
          </w:p>
        </w:tc>
      </w:tr>
      <w:tr w:rsidR="00D82AF5" w:rsidTr="00C438D9">
        <w:tc>
          <w:tcPr>
            <w:tcW w:w="772" w:type="dxa"/>
          </w:tcPr>
          <w:p w:rsidR="00D82AF5" w:rsidRPr="00E613D3" w:rsidRDefault="00E613D3" w:rsidP="00EE6353">
            <w:pPr>
              <w:pStyle w:val="ListParagraph"/>
              <w:ind w:left="0"/>
            </w:pPr>
            <w:r>
              <w:t>42</w:t>
            </w:r>
          </w:p>
        </w:tc>
        <w:tc>
          <w:tcPr>
            <w:tcW w:w="2976" w:type="dxa"/>
          </w:tcPr>
          <w:p w:rsidR="00D82AF5" w:rsidRPr="00E613D3" w:rsidRDefault="00E613D3" w:rsidP="00EE6353">
            <w:pPr>
              <w:pStyle w:val="ListParagraph"/>
              <w:ind w:left="0"/>
            </w:pPr>
            <w:r>
              <w:t>Коришћење услуга и роба</w:t>
            </w:r>
          </w:p>
        </w:tc>
        <w:tc>
          <w:tcPr>
            <w:tcW w:w="1481" w:type="dxa"/>
            <w:tcBorders>
              <w:right w:val="single" w:sz="4" w:space="0" w:color="auto"/>
            </w:tcBorders>
          </w:tcPr>
          <w:p w:rsidR="00D82AF5" w:rsidRPr="005A7077" w:rsidRDefault="00C438D9" w:rsidP="005104F3">
            <w:pPr>
              <w:pStyle w:val="ListParagraph"/>
              <w:ind w:left="0"/>
              <w:jc w:val="right"/>
            </w:pPr>
            <w:r>
              <w:t>7</w:t>
            </w:r>
            <w:r w:rsidR="00660252">
              <w:t>0</w:t>
            </w:r>
            <w:r w:rsidR="005A7077">
              <w:t>.000.000</w:t>
            </w:r>
          </w:p>
        </w:tc>
        <w:tc>
          <w:tcPr>
            <w:tcW w:w="1481" w:type="dxa"/>
            <w:tcBorders>
              <w:left w:val="single" w:sz="4" w:space="0" w:color="auto"/>
            </w:tcBorders>
          </w:tcPr>
          <w:p w:rsidR="00D82AF5" w:rsidRDefault="005104F3" w:rsidP="005104F3">
            <w:pPr>
              <w:pStyle w:val="ListParagraph"/>
              <w:ind w:left="0"/>
              <w:jc w:val="right"/>
            </w:pPr>
            <w:r>
              <w:t>60.000.000</w:t>
            </w:r>
          </w:p>
        </w:tc>
        <w:tc>
          <w:tcPr>
            <w:tcW w:w="1483" w:type="dxa"/>
          </w:tcPr>
          <w:p w:rsidR="00D82AF5" w:rsidRDefault="005104F3" w:rsidP="005104F3">
            <w:pPr>
              <w:pStyle w:val="ListParagraph"/>
              <w:ind w:left="0"/>
              <w:jc w:val="right"/>
            </w:pPr>
            <w:r>
              <w:t>60.000.000</w:t>
            </w:r>
          </w:p>
        </w:tc>
      </w:tr>
      <w:tr w:rsidR="00D82AF5" w:rsidTr="00C438D9">
        <w:tc>
          <w:tcPr>
            <w:tcW w:w="772" w:type="dxa"/>
          </w:tcPr>
          <w:p w:rsidR="00D82AF5" w:rsidRPr="00E613D3" w:rsidRDefault="00E613D3" w:rsidP="00E613D3">
            <w:pPr>
              <w:pStyle w:val="ListParagraph"/>
              <w:ind w:left="0"/>
            </w:pPr>
            <w:r>
              <w:t>44</w:t>
            </w:r>
          </w:p>
        </w:tc>
        <w:tc>
          <w:tcPr>
            <w:tcW w:w="2976" w:type="dxa"/>
          </w:tcPr>
          <w:p w:rsidR="00D82AF5" w:rsidRPr="00E613D3" w:rsidRDefault="00E613D3" w:rsidP="00EE6353">
            <w:pPr>
              <w:pStyle w:val="ListParagraph"/>
              <w:ind w:left="0"/>
            </w:pPr>
            <w:r>
              <w:t>Отплата камата</w:t>
            </w:r>
          </w:p>
        </w:tc>
        <w:tc>
          <w:tcPr>
            <w:tcW w:w="1481" w:type="dxa"/>
          </w:tcPr>
          <w:p w:rsidR="00D82AF5" w:rsidRPr="005A7077" w:rsidRDefault="00660252" w:rsidP="005104F3">
            <w:pPr>
              <w:pStyle w:val="ListParagraph"/>
              <w:ind w:left="0"/>
              <w:jc w:val="right"/>
            </w:pPr>
            <w:r>
              <w:t>6</w:t>
            </w:r>
            <w:r w:rsidR="005A7077">
              <w:t>.000.000</w:t>
            </w:r>
          </w:p>
        </w:tc>
        <w:tc>
          <w:tcPr>
            <w:tcW w:w="1481" w:type="dxa"/>
          </w:tcPr>
          <w:p w:rsidR="00D82AF5" w:rsidRDefault="005104F3" w:rsidP="005104F3">
            <w:pPr>
              <w:pStyle w:val="ListParagraph"/>
              <w:ind w:left="0"/>
              <w:jc w:val="right"/>
            </w:pPr>
            <w:r>
              <w:t>5.000.000</w:t>
            </w:r>
          </w:p>
        </w:tc>
        <w:tc>
          <w:tcPr>
            <w:tcW w:w="1483" w:type="dxa"/>
          </w:tcPr>
          <w:p w:rsidR="00D82AF5" w:rsidRDefault="005104F3" w:rsidP="005104F3">
            <w:pPr>
              <w:pStyle w:val="ListParagraph"/>
              <w:ind w:left="0"/>
              <w:jc w:val="right"/>
            </w:pPr>
            <w:r>
              <w:t>5.000.000</w:t>
            </w:r>
          </w:p>
        </w:tc>
      </w:tr>
      <w:tr w:rsidR="00D82AF5" w:rsidTr="00C438D9">
        <w:tc>
          <w:tcPr>
            <w:tcW w:w="772" w:type="dxa"/>
          </w:tcPr>
          <w:p w:rsidR="00D82AF5" w:rsidRPr="00E613D3" w:rsidRDefault="00E613D3" w:rsidP="00EE6353">
            <w:pPr>
              <w:pStyle w:val="ListParagraph"/>
              <w:ind w:left="0"/>
            </w:pPr>
            <w:r>
              <w:t>45</w:t>
            </w:r>
          </w:p>
        </w:tc>
        <w:tc>
          <w:tcPr>
            <w:tcW w:w="2976" w:type="dxa"/>
          </w:tcPr>
          <w:p w:rsidR="00D82AF5" w:rsidRPr="00E613D3" w:rsidRDefault="00E613D3" w:rsidP="00EE6353">
            <w:pPr>
              <w:pStyle w:val="ListParagraph"/>
              <w:ind w:left="0"/>
            </w:pPr>
            <w:r>
              <w:t>Субвенције</w:t>
            </w:r>
          </w:p>
        </w:tc>
        <w:tc>
          <w:tcPr>
            <w:tcW w:w="1481" w:type="dxa"/>
          </w:tcPr>
          <w:p w:rsidR="00D82AF5" w:rsidRPr="005A7077" w:rsidRDefault="00660252" w:rsidP="005104F3">
            <w:pPr>
              <w:pStyle w:val="ListParagraph"/>
              <w:ind w:left="0"/>
              <w:jc w:val="right"/>
            </w:pPr>
            <w:r>
              <w:t>6</w:t>
            </w:r>
            <w:r w:rsidR="005A7077">
              <w:t>.000.000</w:t>
            </w:r>
          </w:p>
        </w:tc>
        <w:tc>
          <w:tcPr>
            <w:tcW w:w="1481" w:type="dxa"/>
          </w:tcPr>
          <w:p w:rsidR="00D82AF5" w:rsidRDefault="005104F3" w:rsidP="005104F3">
            <w:pPr>
              <w:pStyle w:val="ListParagraph"/>
              <w:ind w:left="0"/>
              <w:jc w:val="right"/>
            </w:pPr>
            <w:r>
              <w:t>5.000.000</w:t>
            </w:r>
          </w:p>
        </w:tc>
        <w:tc>
          <w:tcPr>
            <w:tcW w:w="1483" w:type="dxa"/>
          </w:tcPr>
          <w:p w:rsidR="00D82AF5" w:rsidRDefault="005104F3" w:rsidP="005104F3">
            <w:pPr>
              <w:pStyle w:val="ListParagraph"/>
              <w:ind w:left="0"/>
              <w:jc w:val="right"/>
            </w:pPr>
            <w:r>
              <w:t>5.000.000</w:t>
            </w:r>
          </w:p>
        </w:tc>
      </w:tr>
      <w:tr w:rsidR="00D82AF5" w:rsidTr="00C438D9">
        <w:tc>
          <w:tcPr>
            <w:tcW w:w="772" w:type="dxa"/>
          </w:tcPr>
          <w:p w:rsidR="00D82AF5" w:rsidRPr="006575FE" w:rsidRDefault="006575FE" w:rsidP="00EE6353">
            <w:pPr>
              <w:pStyle w:val="ListParagraph"/>
              <w:ind w:left="0"/>
            </w:pPr>
            <w:r>
              <w:t>46</w:t>
            </w:r>
          </w:p>
        </w:tc>
        <w:tc>
          <w:tcPr>
            <w:tcW w:w="2976" w:type="dxa"/>
          </w:tcPr>
          <w:p w:rsidR="00D82AF5" w:rsidRPr="006575FE" w:rsidRDefault="006575FE" w:rsidP="00EE6353">
            <w:pPr>
              <w:pStyle w:val="ListParagraph"/>
              <w:ind w:left="0"/>
            </w:pPr>
            <w:r>
              <w:t>Трансфери</w:t>
            </w:r>
          </w:p>
        </w:tc>
        <w:tc>
          <w:tcPr>
            <w:tcW w:w="1481" w:type="dxa"/>
          </w:tcPr>
          <w:p w:rsidR="00D82AF5" w:rsidRPr="005A7077" w:rsidRDefault="00660252" w:rsidP="005104F3">
            <w:pPr>
              <w:pStyle w:val="ListParagraph"/>
              <w:ind w:left="0"/>
              <w:jc w:val="right"/>
            </w:pPr>
            <w:r>
              <w:t>35</w:t>
            </w:r>
            <w:r w:rsidR="005A7077">
              <w:t>.000.000</w:t>
            </w:r>
          </w:p>
        </w:tc>
        <w:tc>
          <w:tcPr>
            <w:tcW w:w="1481" w:type="dxa"/>
          </w:tcPr>
          <w:p w:rsidR="00D82AF5" w:rsidRDefault="005104F3" w:rsidP="005104F3">
            <w:pPr>
              <w:pStyle w:val="ListParagraph"/>
              <w:ind w:left="0"/>
              <w:jc w:val="right"/>
            </w:pPr>
            <w:r>
              <w:t>32.000.000</w:t>
            </w:r>
          </w:p>
        </w:tc>
        <w:tc>
          <w:tcPr>
            <w:tcW w:w="1483" w:type="dxa"/>
          </w:tcPr>
          <w:p w:rsidR="00D82AF5" w:rsidRDefault="005104F3" w:rsidP="005104F3">
            <w:pPr>
              <w:pStyle w:val="ListParagraph"/>
              <w:ind w:left="0"/>
              <w:jc w:val="right"/>
            </w:pPr>
            <w:r>
              <w:t>32.000.000</w:t>
            </w:r>
          </w:p>
        </w:tc>
      </w:tr>
      <w:tr w:rsidR="006575FE" w:rsidTr="00C438D9">
        <w:tc>
          <w:tcPr>
            <w:tcW w:w="772" w:type="dxa"/>
          </w:tcPr>
          <w:p w:rsidR="006575FE" w:rsidRDefault="006575FE" w:rsidP="00EE6353">
            <w:pPr>
              <w:pStyle w:val="ListParagraph"/>
              <w:ind w:left="0"/>
            </w:pPr>
            <w:r>
              <w:t>47</w:t>
            </w:r>
          </w:p>
        </w:tc>
        <w:tc>
          <w:tcPr>
            <w:tcW w:w="2976" w:type="dxa"/>
          </w:tcPr>
          <w:p w:rsidR="006575FE" w:rsidRPr="006575FE" w:rsidRDefault="006575FE" w:rsidP="00EE6353">
            <w:pPr>
              <w:pStyle w:val="ListParagraph"/>
              <w:ind w:left="0"/>
            </w:pPr>
            <w:r>
              <w:t>Социј. заштита из буџета</w:t>
            </w:r>
          </w:p>
        </w:tc>
        <w:tc>
          <w:tcPr>
            <w:tcW w:w="1481" w:type="dxa"/>
          </w:tcPr>
          <w:p w:rsidR="006575FE" w:rsidRPr="005A7077" w:rsidRDefault="00660252" w:rsidP="005104F3">
            <w:pPr>
              <w:pStyle w:val="ListParagraph"/>
              <w:ind w:left="0"/>
              <w:jc w:val="right"/>
            </w:pPr>
            <w:r>
              <w:t>25</w:t>
            </w:r>
            <w:r w:rsidR="005A7077">
              <w:t>.000.000</w:t>
            </w:r>
          </w:p>
        </w:tc>
        <w:tc>
          <w:tcPr>
            <w:tcW w:w="1481" w:type="dxa"/>
          </w:tcPr>
          <w:p w:rsidR="006575FE" w:rsidRDefault="005104F3" w:rsidP="005104F3">
            <w:pPr>
              <w:pStyle w:val="ListParagraph"/>
              <w:ind w:left="0"/>
              <w:jc w:val="right"/>
            </w:pPr>
            <w:r>
              <w:t>25.000.000</w:t>
            </w:r>
          </w:p>
        </w:tc>
        <w:tc>
          <w:tcPr>
            <w:tcW w:w="1483" w:type="dxa"/>
          </w:tcPr>
          <w:p w:rsidR="006575FE" w:rsidRDefault="005104F3" w:rsidP="005104F3">
            <w:pPr>
              <w:pStyle w:val="ListParagraph"/>
              <w:ind w:left="0"/>
              <w:jc w:val="right"/>
            </w:pPr>
            <w:r>
              <w:t>25.000.000</w:t>
            </w:r>
          </w:p>
        </w:tc>
      </w:tr>
      <w:tr w:rsidR="006575FE" w:rsidTr="00C438D9">
        <w:tc>
          <w:tcPr>
            <w:tcW w:w="772" w:type="dxa"/>
          </w:tcPr>
          <w:p w:rsidR="006575FE" w:rsidRDefault="006575FE" w:rsidP="00660252">
            <w:pPr>
              <w:pStyle w:val="ListParagraph"/>
              <w:ind w:left="0"/>
            </w:pPr>
            <w:r>
              <w:t>48</w:t>
            </w:r>
          </w:p>
        </w:tc>
        <w:tc>
          <w:tcPr>
            <w:tcW w:w="2976" w:type="dxa"/>
          </w:tcPr>
          <w:p w:rsidR="006575FE" w:rsidRPr="005A7077" w:rsidRDefault="005A7077" w:rsidP="00EE6353">
            <w:pPr>
              <w:pStyle w:val="ListParagraph"/>
              <w:ind w:left="0"/>
            </w:pPr>
            <w:r>
              <w:t>Остали расходи</w:t>
            </w:r>
          </w:p>
        </w:tc>
        <w:tc>
          <w:tcPr>
            <w:tcW w:w="1481" w:type="dxa"/>
          </w:tcPr>
          <w:p w:rsidR="006575FE" w:rsidRPr="005A7077" w:rsidRDefault="00660252" w:rsidP="005104F3">
            <w:pPr>
              <w:pStyle w:val="ListParagraph"/>
              <w:ind w:left="0"/>
              <w:jc w:val="right"/>
            </w:pPr>
            <w:r>
              <w:t>10.000.000</w:t>
            </w:r>
          </w:p>
        </w:tc>
        <w:tc>
          <w:tcPr>
            <w:tcW w:w="1481" w:type="dxa"/>
          </w:tcPr>
          <w:p w:rsidR="006575FE" w:rsidRDefault="005104F3" w:rsidP="005104F3">
            <w:pPr>
              <w:pStyle w:val="ListParagraph"/>
              <w:ind w:left="0"/>
              <w:jc w:val="right"/>
            </w:pPr>
            <w:r>
              <w:t>8.000.000</w:t>
            </w:r>
          </w:p>
        </w:tc>
        <w:tc>
          <w:tcPr>
            <w:tcW w:w="1483" w:type="dxa"/>
          </w:tcPr>
          <w:p w:rsidR="006575FE" w:rsidRDefault="005104F3" w:rsidP="005104F3">
            <w:pPr>
              <w:pStyle w:val="ListParagraph"/>
              <w:ind w:left="0"/>
              <w:jc w:val="right"/>
            </w:pPr>
            <w:r>
              <w:t>8.000.000</w:t>
            </w:r>
          </w:p>
        </w:tc>
      </w:tr>
      <w:tr w:rsidR="00D82AF5" w:rsidTr="00C438D9">
        <w:tc>
          <w:tcPr>
            <w:tcW w:w="772" w:type="dxa"/>
          </w:tcPr>
          <w:p w:rsidR="00D82AF5" w:rsidRPr="00E613D3" w:rsidRDefault="00E613D3" w:rsidP="00EE6353">
            <w:pPr>
              <w:pStyle w:val="ListParagraph"/>
              <w:ind w:left="0"/>
            </w:pPr>
            <w:r>
              <w:t>5</w:t>
            </w:r>
          </w:p>
        </w:tc>
        <w:tc>
          <w:tcPr>
            <w:tcW w:w="2976" w:type="dxa"/>
          </w:tcPr>
          <w:p w:rsidR="00D82AF5" w:rsidRPr="005A7077" w:rsidRDefault="005A7077" w:rsidP="00EE6353">
            <w:pPr>
              <w:pStyle w:val="ListParagraph"/>
              <w:ind w:left="0"/>
            </w:pPr>
            <w:r>
              <w:t>Издаци за неф. имовину</w:t>
            </w:r>
          </w:p>
        </w:tc>
        <w:tc>
          <w:tcPr>
            <w:tcW w:w="1481" w:type="dxa"/>
          </w:tcPr>
          <w:p w:rsidR="00D82AF5" w:rsidRPr="005A7077" w:rsidRDefault="00C438D9" w:rsidP="005104F3">
            <w:pPr>
              <w:pStyle w:val="ListParagraph"/>
              <w:ind w:left="0"/>
              <w:jc w:val="right"/>
            </w:pPr>
            <w:r>
              <w:t>5</w:t>
            </w:r>
            <w:r w:rsidR="005A7077">
              <w:t>0.000.000</w:t>
            </w:r>
          </w:p>
        </w:tc>
        <w:tc>
          <w:tcPr>
            <w:tcW w:w="1481" w:type="dxa"/>
          </w:tcPr>
          <w:p w:rsidR="00D82AF5" w:rsidRDefault="005104F3" w:rsidP="005104F3">
            <w:pPr>
              <w:pStyle w:val="ListParagraph"/>
              <w:ind w:left="0"/>
              <w:jc w:val="right"/>
            </w:pPr>
            <w:r>
              <w:t>50.000.000</w:t>
            </w:r>
          </w:p>
        </w:tc>
        <w:tc>
          <w:tcPr>
            <w:tcW w:w="1483" w:type="dxa"/>
          </w:tcPr>
          <w:p w:rsidR="00D82AF5" w:rsidRDefault="005104F3" w:rsidP="005104F3">
            <w:pPr>
              <w:pStyle w:val="ListParagraph"/>
              <w:ind w:left="0"/>
              <w:jc w:val="right"/>
            </w:pPr>
            <w:r>
              <w:t>50.000.000</w:t>
            </w:r>
          </w:p>
        </w:tc>
      </w:tr>
      <w:tr w:rsidR="00D82AF5" w:rsidTr="00C438D9">
        <w:tc>
          <w:tcPr>
            <w:tcW w:w="772" w:type="dxa"/>
          </w:tcPr>
          <w:p w:rsidR="00D82AF5" w:rsidRPr="00E613D3" w:rsidRDefault="00E613D3" w:rsidP="00EE6353">
            <w:pPr>
              <w:pStyle w:val="ListParagraph"/>
              <w:ind w:left="0"/>
            </w:pPr>
            <w:r>
              <w:t>6</w:t>
            </w:r>
          </w:p>
        </w:tc>
        <w:tc>
          <w:tcPr>
            <w:tcW w:w="2976" w:type="dxa"/>
          </w:tcPr>
          <w:p w:rsidR="00D82AF5" w:rsidRPr="005A7077" w:rsidRDefault="005A7077" w:rsidP="00EE6353">
            <w:pPr>
              <w:pStyle w:val="ListParagraph"/>
              <w:ind w:left="0"/>
            </w:pPr>
            <w:r>
              <w:t>Отплата дуга</w:t>
            </w:r>
          </w:p>
        </w:tc>
        <w:tc>
          <w:tcPr>
            <w:tcW w:w="1481" w:type="dxa"/>
          </w:tcPr>
          <w:p w:rsidR="00D82AF5" w:rsidRPr="005A7077" w:rsidRDefault="005A7077" w:rsidP="005104F3">
            <w:pPr>
              <w:pStyle w:val="ListParagraph"/>
              <w:ind w:left="0"/>
              <w:jc w:val="right"/>
            </w:pPr>
            <w:r>
              <w:t>20.000.000</w:t>
            </w:r>
          </w:p>
        </w:tc>
        <w:tc>
          <w:tcPr>
            <w:tcW w:w="1481" w:type="dxa"/>
          </w:tcPr>
          <w:p w:rsidR="00D82AF5" w:rsidRDefault="005104F3" w:rsidP="005104F3">
            <w:pPr>
              <w:pStyle w:val="ListParagraph"/>
              <w:ind w:left="0"/>
              <w:jc w:val="right"/>
            </w:pPr>
            <w:r>
              <w:t>15.000.000</w:t>
            </w:r>
          </w:p>
        </w:tc>
        <w:tc>
          <w:tcPr>
            <w:tcW w:w="1483" w:type="dxa"/>
          </w:tcPr>
          <w:p w:rsidR="00D82AF5" w:rsidRDefault="005104F3" w:rsidP="005104F3">
            <w:pPr>
              <w:pStyle w:val="ListParagraph"/>
              <w:ind w:left="0"/>
              <w:jc w:val="right"/>
            </w:pPr>
            <w:r>
              <w:t>15.000.000</w:t>
            </w:r>
          </w:p>
        </w:tc>
      </w:tr>
      <w:tr w:rsidR="004A4FE0" w:rsidTr="00C438D9">
        <w:tc>
          <w:tcPr>
            <w:tcW w:w="772" w:type="dxa"/>
          </w:tcPr>
          <w:p w:rsidR="004A4FE0" w:rsidRDefault="004A4FE0" w:rsidP="00EE6353">
            <w:pPr>
              <w:pStyle w:val="ListParagraph"/>
              <w:ind w:left="0"/>
            </w:pPr>
          </w:p>
        </w:tc>
        <w:tc>
          <w:tcPr>
            <w:tcW w:w="2976" w:type="dxa"/>
          </w:tcPr>
          <w:p w:rsidR="004A4FE0" w:rsidRPr="004A4FE0" w:rsidRDefault="004A4FE0" w:rsidP="00EE6353">
            <w:pPr>
              <w:pStyle w:val="ListParagraph"/>
              <w:ind w:left="0"/>
            </w:pPr>
            <w:r>
              <w:t>Укупни расходи и издаци:</w:t>
            </w:r>
          </w:p>
        </w:tc>
        <w:tc>
          <w:tcPr>
            <w:tcW w:w="1481" w:type="dxa"/>
          </w:tcPr>
          <w:p w:rsidR="004A4FE0" w:rsidRPr="005A7077" w:rsidRDefault="005A7077" w:rsidP="005104F3">
            <w:pPr>
              <w:pStyle w:val="ListParagraph"/>
              <w:ind w:left="0"/>
              <w:jc w:val="right"/>
            </w:pPr>
            <w:r>
              <w:t>33</w:t>
            </w:r>
            <w:r w:rsidR="00660252">
              <w:t>2</w:t>
            </w:r>
            <w:r>
              <w:t>.000.000</w:t>
            </w:r>
          </w:p>
        </w:tc>
        <w:tc>
          <w:tcPr>
            <w:tcW w:w="1481" w:type="dxa"/>
          </w:tcPr>
          <w:p w:rsidR="004A4FE0" w:rsidRPr="00320A9E" w:rsidRDefault="00320A9E" w:rsidP="00320A9E">
            <w:pPr>
              <w:pStyle w:val="ListParagraph"/>
              <w:ind w:left="0"/>
              <w:jc w:val="right"/>
            </w:pPr>
            <w:r>
              <w:t>300.000.000</w:t>
            </w:r>
          </w:p>
        </w:tc>
        <w:tc>
          <w:tcPr>
            <w:tcW w:w="1483" w:type="dxa"/>
          </w:tcPr>
          <w:p w:rsidR="004A4FE0" w:rsidRPr="00320A9E" w:rsidRDefault="00320A9E" w:rsidP="00320A9E">
            <w:pPr>
              <w:pStyle w:val="ListParagraph"/>
              <w:ind w:left="0"/>
              <w:jc w:val="right"/>
            </w:pPr>
            <w:r>
              <w:t>300.000.000</w:t>
            </w:r>
          </w:p>
        </w:tc>
      </w:tr>
    </w:tbl>
    <w:p w:rsidR="00B66D6D" w:rsidRDefault="00B66D6D" w:rsidP="00B66D6D">
      <w:pPr>
        <w:pStyle w:val="ListParagraph"/>
        <w:ind w:left="0" w:firstLine="720"/>
      </w:pPr>
    </w:p>
    <w:p w:rsidR="00B66D6D" w:rsidRDefault="00B66D6D" w:rsidP="00B66D6D">
      <w:pPr>
        <w:pStyle w:val="ListParagraph"/>
        <w:ind w:left="0" w:firstLine="720"/>
      </w:pPr>
    </w:p>
    <w:p w:rsidR="00B66D6D" w:rsidRDefault="00B66D6D" w:rsidP="00B66D6D">
      <w:pPr>
        <w:pStyle w:val="ListParagraph"/>
        <w:ind w:left="0" w:firstLine="720"/>
      </w:pPr>
    </w:p>
    <w:p w:rsidR="001A072D" w:rsidRDefault="0070156E" w:rsidP="00B66D6D">
      <w:pPr>
        <w:pStyle w:val="ListParagraph"/>
        <w:ind w:left="0" w:firstLine="720"/>
        <w:rPr>
          <w:b/>
        </w:rPr>
      </w:pPr>
      <w:r w:rsidRPr="001A072D">
        <w:rPr>
          <w:b/>
        </w:rPr>
        <w:t xml:space="preserve"> IV ОБИМ СРЕДСТАВА КОЈЕ МОЖЕ ДА САДРЖИ ПРЕДЛОГ ФИНАНСИЈСКОГ ПЛАНА КОРИСНИКА СРЕДСТАВА БУЏЕТА ОПШТИНЕ </w:t>
      </w:r>
      <w:r w:rsidR="00B66D6D" w:rsidRPr="001A072D">
        <w:rPr>
          <w:b/>
        </w:rPr>
        <w:t>ЋИЋЕВАЦ</w:t>
      </w:r>
      <w:r w:rsidRPr="001A072D">
        <w:rPr>
          <w:b/>
        </w:rPr>
        <w:t xml:space="preserve"> ЗА 201</w:t>
      </w:r>
      <w:r w:rsidR="00CF4C0F">
        <w:rPr>
          <w:b/>
        </w:rPr>
        <w:t>9</w:t>
      </w:r>
      <w:r w:rsidRPr="001A072D">
        <w:rPr>
          <w:b/>
        </w:rPr>
        <w:t>. ГОДИНУ СА ПРОЈЕКЦИЈАМА ЗА НАРЕДНЕ ДВЕ ФИСКАЛНЕ ГОДИНЕ</w:t>
      </w:r>
    </w:p>
    <w:p w:rsidR="001A072D" w:rsidRPr="001A072D" w:rsidRDefault="001A072D" w:rsidP="00B66D6D">
      <w:pPr>
        <w:pStyle w:val="ListParagraph"/>
        <w:ind w:left="0" w:firstLine="720"/>
        <w:rPr>
          <w:b/>
        </w:rPr>
      </w:pPr>
    </w:p>
    <w:p w:rsidR="001A072D" w:rsidRDefault="0070156E" w:rsidP="00B66D6D">
      <w:pPr>
        <w:pStyle w:val="ListParagraph"/>
        <w:ind w:left="0" w:firstLine="720"/>
      </w:pPr>
      <w:r>
        <w:t xml:space="preserve"> Лимити укупних расхода по годинама за трогодишњи период, на неки начин представљају основ за увођење средњорочног оквира расхода који треба да повећају предвидивост јавних финансија за буџетске кориснике и створе одређену препреку за њихову експанзију. </w:t>
      </w:r>
    </w:p>
    <w:p w:rsidR="001A072D" w:rsidRDefault="0070156E" w:rsidP="00B66D6D">
      <w:pPr>
        <w:pStyle w:val="ListParagraph"/>
        <w:ind w:left="0" w:firstLine="720"/>
      </w:pPr>
      <w:r>
        <w:lastRenderedPageBreak/>
        <w:t>При изради предл</w:t>
      </w:r>
      <w:r w:rsidR="00CF4C0F">
        <w:t>ога финансијских планова за 2019</w:t>
      </w:r>
      <w:r>
        <w:t xml:space="preserve">. годину, буџетски корисници треба да планирају расходе и издатке до нивоа утврђеног овим Упутством. </w:t>
      </w:r>
    </w:p>
    <w:p w:rsidR="001A072D" w:rsidRDefault="0070156E" w:rsidP="00B66D6D">
      <w:pPr>
        <w:pStyle w:val="ListParagraph"/>
        <w:ind w:left="0" w:firstLine="720"/>
      </w:pPr>
      <w:r>
        <w:t>Полазну основу за утврђивање обима средстава у предлозима финансијских планова директних корисника средстава буџета за 201</w:t>
      </w:r>
      <w:r w:rsidR="00CF4C0F">
        <w:t>9</w:t>
      </w:r>
      <w:r>
        <w:t>. годину, чини обим средстава за расходе директних корисника утврђен Одлуком о буџету општине за 201</w:t>
      </w:r>
      <w:r w:rsidR="00CF4C0F">
        <w:t>8</w:t>
      </w:r>
      <w:r>
        <w:t xml:space="preserve">. годину (Сл. лист општине </w:t>
      </w:r>
      <w:r w:rsidR="00320A9E">
        <w:t xml:space="preserve">Ћићевац </w:t>
      </w:r>
      <w:r>
        <w:t xml:space="preserve">, број </w:t>
      </w:r>
      <w:r w:rsidR="00320A9E">
        <w:t>2</w:t>
      </w:r>
      <w:r w:rsidR="00536C1C">
        <w:t>1</w:t>
      </w:r>
      <w:r>
        <w:t>/201</w:t>
      </w:r>
      <w:r w:rsidR="00536C1C">
        <w:t>7</w:t>
      </w:r>
      <w:r>
        <w:t>), из извора 01- Приходи из буџета.</w:t>
      </w:r>
    </w:p>
    <w:p w:rsidR="001A072D" w:rsidRDefault="0070156E" w:rsidP="00B66D6D">
      <w:pPr>
        <w:pStyle w:val="ListParagraph"/>
        <w:ind w:left="0" w:firstLine="720"/>
      </w:pPr>
      <w:r>
        <w:t xml:space="preserve"> Обим средстава који може да садржи предлог финансијског плана директног корисника средстава буџета за 201</w:t>
      </w:r>
      <w:r w:rsidR="00CF4C0F">
        <w:t>9</w:t>
      </w:r>
      <w:r>
        <w:t>. годину, из извора 01- Приходи из буџета, са пројекцијама за наредне две фискалне године по организационој класификацији утврђен је у следећој табели:</w:t>
      </w:r>
    </w:p>
    <w:p w:rsidR="00273132" w:rsidRPr="00273132" w:rsidRDefault="00273132" w:rsidP="00B66D6D">
      <w:pPr>
        <w:pStyle w:val="ListParagraph"/>
        <w:ind w:left="0" w:firstLine="720"/>
      </w:pPr>
    </w:p>
    <w:p w:rsidR="001A072D" w:rsidRPr="00F60C7F" w:rsidRDefault="0070156E" w:rsidP="00F60C7F">
      <w:pPr>
        <w:pStyle w:val="ListParagraph"/>
        <w:ind w:left="0" w:firstLine="720"/>
      </w:pPr>
      <w:r>
        <w:t xml:space="preserve"> Табела: Обим средстава који може да садржи предлог финансијског плана директног корисника средстава буџета општине </w:t>
      </w:r>
      <w:r w:rsidR="00915A40">
        <w:t>Ћићевац</w:t>
      </w:r>
      <w:r>
        <w:t xml:space="preserve"> за 201</w:t>
      </w:r>
      <w:r w:rsidR="00CF4C0F">
        <w:t>9. годину, са пројекцијом за 2020</w:t>
      </w:r>
      <w:r>
        <w:t>. и 202</w:t>
      </w:r>
      <w:r w:rsidR="00CF4C0F">
        <w:t>1</w:t>
      </w:r>
      <w:r>
        <w:t>. годину из извора финансирања 01 - Приходи из буџета</w:t>
      </w:r>
    </w:p>
    <w:p w:rsidR="00273132" w:rsidRPr="00273132" w:rsidRDefault="00273132" w:rsidP="00B66D6D">
      <w:pPr>
        <w:pStyle w:val="ListParagraph"/>
        <w:ind w:left="0" w:firstLine="720"/>
      </w:pPr>
    </w:p>
    <w:tbl>
      <w:tblPr>
        <w:tblStyle w:val="TableGrid"/>
        <w:tblW w:w="0" w:type="auto"/>
        <w:tblLook w:val="04A0"/>
      </w:tblPr>
      <w:tblGrid>
        <w:gridCol w:w="958"/>
        <w:gridCol w:w="2870"/>
        <w:gridCol w:w="1919"/>
        <w:gridCol w:w="1914"/>
        <w:gridCol w:w="6"/>
        <w:gridCol w:w="1909"/>
      </w:tblGrid>
      <w:tr w:rsidR="00FB548C" w:rsidTr="00FB548C">
        <w:trPr>
          <w:trHeight w:val="298"/>
        </w:trPr>
        <w:tc>
          <w:tcPr>
            <w:tcW w:w="958" w:type="dxa"/>
            <w:vMerge w:val="restart"/>
          </w:tcPr>
          <w:p w:rsidR="00FB548C" w:rsidRPr="00273132" w:rsidRDefault="00FB548C" w:rsidP="00B66D6D">
            <w:pPr>
              <w:pStyle w:val="ListParagraph"/>
              <w:ind w:left="0"/>
            </w:pPr>
            <w:r>
              <w:t>Раздео</w:t>
            </w:r>
          </w:p>
        </w:tc>
        <w:tc>
          <w:tcPr>
            <w:tcW w:w="2870" w:type="dxa"/>
            <w:vMerge w:val="restart"/>
          </w:tcPr>
          <w:p w:rsidR="00FB548C" w:rsidRPr="00273132" w:rsidRDefault="00FB548C" w:rsidP="00273132">
            <w:pPr>
              <w:pStyle w:val="ListParagraph"/>
              <w:ind w:left="0"/>
              <w:jc w:val="center"/>
            </w:pPr>
            <w:r>
              <w:t>Опис</w:t>
            </w:r>
          </w:p>
        </w:tc>
        <w:tc>
          <w:tcPr>
            <w:tcW w:w="5748" w:type="dxa"/>
            <w:gridSpan w:val="4"/>
            <w:tcBorders>
              <w:bottom w:val="single" w:sz="4" w:space="0" w:color="auto"/>
            </w:tcBorders>
          </w:tcPr>
          <w:p w:rsidR="00FB548C" w:rsidRPr="00273132" w:rsidRDefault="00FB548C" w:rsidP="00FB548C">
            <w:pPr>
              <w:pStyle w:val="ListParagraph"/>
              <w:ind w:left="0"/>
              <w:jc w:val="center"/>
            </w:pPr>
            <w:r>
              <w:t>Пројекција за</w:t>
            </w:r>
          </w:p>
        </w:tc>
      </w:tr>
      <w:tr w:rsidR="00FB548C" w:rsidTr="00FB548C">
        <w:trPr>
          <w:trHeight w:val="234"/>
        </w:trPr>
        <w:tc>
          <w:tcPr>
            <w:tcW w:w="958" w:type="dxa"/>
            <w:vMerge/>
          </w:tcPr>
          <w:p w:rsidR="00FB548C" w:rsidRDefault="00FB548C" w:rsidP="00B66D6D">
            <w:pPr>
              <w:pStyle w:val="ListParagraph"/>
              <w:ind w:left="0"/>
            </w:pPr>
          </w:p>
        </w:tc>
        <w:tc>
          <w:tcPr>
            <w:tcW w:w="2870" w:type="dxa"/>
            <w:vMerge/>
          </w:tcPr>
          <w:p w:rsidR="00FB548C" w:rsidRDefault="00FB548C" w:rsidP="00273132">
            <w:pPr>
              <w:pStyle w:val="ListParagraph"/>
              <w:ind w:left="0"/>
              <w:jc w:val="center"/>
            </w:pPr>
          </w:p>
        </w:tc>
        <w:tc>
          <w:tcPr>
            <w:tcW w:w="1919" w:type="dxa"/>
            <w:tcBorders>
              <w:top w:val="single" w:sz="4" w:space="0" w:color="auto"/>
              <w:right w:val="single" w:sz="4" w:space="0" w:color="auto"/>
            </w:tcBorders>
          </w:tcPr>
          <w:p w:rsidR="00FB548C" w:rsidRPr="00CF4C0F" w:rsidRDefault="00FB548C" w:rsidP="00CF4C0F">
            <w:pPr>
              <w:pStyle w:val="ListParagraph"/>
              <w:ind w:left="0"/>
              <w:jc w:val="center"/>
            </w:pPr>
            <w:r>
              <w:t>20</w:t>
            </w:r>
            <w:r w:rsidR="00CF4C0F">
              <w:t>19</w:t>
            </w:r>
          </w:p>
        </w:tc>
        <w:tc>
          <w:tcPr>
            <w:tcW w:w="1920" w:type="dxa"/>
            <w:gridSpan w:val="2"/>
            <w:tcBorders>
              <w:top w:val="single" w:sz="4" w:space="0" w:color="auto"/>
              <w:left w:val="single" w:sz="4" w:space="0" w:color="auto"/>
              <w:right w:val="single" w:sz="4" w:space="0" w:color="auto"/>
            </w:tcBorders>
          </w:tcPr>
          <w:p w:rsidR="00FB548C" w:rsidRPr="00CF4C0F" w:rsidRDefault="00FB548C" w:rsidP="00CF4C0F">
            <w:pPr>
              <w:pStyle w:val="ListParagraph"/>
              <w:ind w:left="0"/>
              <w:jc w:val="center"/>
            </w:pPr>
            <w:r>
              <w:t>20</w:t>
            </w:r>
            <w:r w:rsidR="00CF4C0F">
              <w:t>20</w:t>
            </w:r>
          </w:p>
        </w:tc>
        <w:tc>
          <w:tcPr>
            <w:tcW w:w="1909" w:type="dxa"/>
            <w:tcBorders>
              <w:top w:val="single" w:sz="4" w:space="0" w:color="auto"/>
              <w:left w:val="single" w:sz="4" w:space="0" w:color="auto"/>
            </w:tcBorders>
          </w:tcPr>
          <w:p w:rsidR="00FB548C" w:rsidRPr="00CF4C0F" w:rsidRDefault="00FB548C" w:rsidP="00CF4C0F">
            <w:pPr>
              <w:pStyle w:val="ListParagraph"/>
              <w:ind w:left="0"/>
              <w:jc w:val="center"/>
            </w:pPr>
            <w:r>
              <w:t>202</w:t>
            </w:r>
            <w:r w:rsidR="00CF4C0F">
              <w:t>1</w:t>
            </w:r>
          </w:p>
        </w:tc>
      </w:tr>
      <w:tr w:rsidR="00273132" w:rsidTr="00FB548C">
        <w:tc>
          <w:tcPr>
            <w:tcW w:w="958" w:type="dxa"/>
          </w:tcPr>
          <w:p w:rsidR="00273132" w:rsidRPr="00A07578" w:rsidRDefault="00A07578" w:rsidP="00B66D6D">
            <w:pPr>
              <w:pStyle w:val="ListParagraph"/>
              <w:ind w:left="0"/>
            </w:pPr>
            <w:r>
              <w:t>1.</w:t>
            </w:r>
          </w:p>
        </w:tc>
        <w:tc>
          <w:tcPr>
            <w:tcW w:w="2870" w:type="dxa"/>
          </w:tcPr>
          <w:p w:rsidR="00273132" w:rsidRPr="00A07578" w:rsidRDefault="00A07578" w:rsidP="00B66D6D">
            <w:pPr>
              <w:pStyle w:val="ListParagraph"/>
              <w:ind w:left="0"/>
            </w:pPr>
            <w:r>
              <w:t>Скупштина општине</w:t>
            </w:r>
          </w:p>
        </w:tc>
        <w:tc>
          <w:tcPr>
            <w:tcW w:w="1919" w:type="dxa"/>
            <w:tcBorders>
              <w:right w:val="single" w:sz="4" w:space="0" w:color="auto"/>
            </w:tcBorders>
          </w:tcPr>
          <w:p w:rsidR="00273132" w:rsidRDefault="005828A1" w:rsidP="005828A1">
            <w:pPr>
              <w:pStyle w:val="ListParagraph"/>
              <w:ind w:left="0"/>
              <w:jc w:val="right"/>
            </w:pPr>
            <w:r>
              <w:t>10.000.000</w:t>
            </w:r>
          </w:p>
        </w:tc>
        <w:tc>
          <w:tcPr>
            <w:tcW w:w="1914" w:type="dxa"/>
            <w:tcBorders>
              <w:left w:val="single" w:sz="4" w:space="0" w:color="auto"/>
              <w:right w:val="single" w:sz="4" w:space="0" w:color="auto"/>
            </w:tcBorders>
          </w:tcPr>
          <w:p w:rsidR="00273132" w:rsidRPr="005828A1" w:rsidRDefault="005828A1" w:rsidP="005828A1">
            <w:pPr>
              <w:pStyle w:val="ListParagraph"/>
              <w:ind w:left="0"/>
              <w:jc w:val="right"/>
            </w:pPr>
            <w:r>
              <w:t>10.000.000</w:t>
            </w:r>
          </w:p>
        </w:tc>
        <w:tc>
          <w:tcPr>
            <w:tcW w:w="1915" w:type="dxa"/>
            <w:gridSpan w:val="2"/>
            <w:tcBorders>
              <w:left w:val="single" w:sz="4" w:space="0" w:color="auto"/>
            </w:tcBorders>
          </w:tcPr>
          <w:p w:rsidR="00273132" w:rsidRPr="005828A1" w:rsidRDefault="005828A1" w:rsidP="005828A1">
            <w:pPr>
              <w:pStyle w:val="ListParagraph"/>
              <w:ind w:left="0"/>
              <w:jc w:val="right"/>
            </w:pPr>
            <w:r>
              <w:t>10.000.000</w:t>
            </w:r>
          </w:p>
        </w:tc>
      </w:tr>
      <w:tr w:rsidR="00273132" w:rsidTr="00FB548C">
        <w:tc>
          <w:tcPr>
            <w:tcW w:w="958" w:type="dxa"/>
          </w:tcPr>
          <w:p w:rsidR="00273132" w:rsidRPr="00A07578" w:rsidRDefault="00A07578" w:rsidP="00B66D6D">
            <w:pPr>
              <w:pStyle w:val="ListParagraph"/>
              <w:ind w:left="0"/>
            </w:pPr>
            <w:r>
              <w:t>2.</w:t>
            </w:r>
          </w:p>
        </w:tc>
        <w:tc>
          <w:tcPr>
            <w:tcW w:w="2870" w:type="dxa"/>
          </w:tcPr>
          <w:p w:rsidR="00273132" w:rsidRPr="00A07578" w:rsidRDefault="00A07578" w:rsidP="00B66D6D">
            <w:pPr>
              <w:pStyle w:val="ListParagraph"/>
              <w:ind w:left="0"/>
            </w:pPr>
            <w:r>
              <w:t>Председник општине</w:t>
            </w:r>
          </w:p>
        </w:tc>
        <w:tc>
          <w:tcPr>
            <w:tcW w:w="1919" w:type="dxa"/>
          </w:tcPr>
          <w:p w:rsidR="00273132" w:rsidRDefault="005828A1" w:rsidP="005828A1">
            <w:pPr>
              <w:pStyle w:val="ListParagraph"/>
              <w:ind w:left="0"/>
              <w:jc w:val="right"/>
            </w:pPr>
            <w:r>
              <w:t>14.000.000</w:t>
            </w:r>
          </w:p>
        </w:tc>
        <w:tc>
          <w:tcPr>
            <w:tcW w:w="1914" w:type="dxa"/>
          </w:tcPr>
          <w:p w:rsidR="00273132" w:rsidRPr="005828A1" w:rsidRDefault="005828A1" w:rsidP="005828A1">
            <w:pPr>
              <w:pStyle w:val="ListParagraph"/>
              <w:ind w:left="0"/>
              <w:jc w:val="right"/>
            </w:pPr>
            <w:r>
              <w:t>14.000.000</w:t>
            </w:r>
          </w:p>
        </w:tc>
        <w:tc>
          <w:tcPr>
            <w:tcW w:w="1915" w:type="dxa"/>
            <w:gridSpan w:val="2"/>
          </w:tcPr>
          <w:p w:rsidR="00273132" w:rsidRPr="005828A1" w:rsidRDefault="005828A1" w:rsidP="005828A1">
            <w:pPr>
              <w:pStyle w:val="ListParagraph"/>
              <w:ind w:left="0"/>
              <w:jc w:val="right"/>
            </w:pPr>
            <w:r>
              <w:t>14.000.000</w:t>
            </w:r>
          </w:p>
        </w:tc>
      </w:tr>
      <w:tr w:rsidR="00273132" w:rsidTr="00FB548C">
        <w:tc>
          <w:tcPr>
            <w:tcW w:w="958" w:type="dxa"/>
          </w:tcPr>
          <w:p w:rsidR="00273132" w:rsidRPr="00A07578" w:rsidRDefault="00A07578" w:rsidP="00B66D6D">
            <w:pPr>
              <w:pStyle w:val="ListParagraph"/>
              <w:ind w:left="0"/>
            </w:pPr>
            <w:r>
              <w:t>2.</w:t>
            </w:r>
          </w:p>
        </w:tc>
        <w:tc>
          <w:tcPr>
            <w:tcW w:w="2870" w:type="dxa"/>
          </w:tcPr>
          <w:p w:rsidR="00273132" w:rsidRPr="00A07578" w:rsidRDefault="00A07578" w:rsidP="00B66D6D">
            <w:pPr>
              <w:pStyle w:val="ListParagraph"/>
              <w:ind w:left="0"/>
            </w:pPr>
            <w:r>
              <w:t>Општинско веће</w:t>
            </w:r>
          </w:p>
        </w:tc>
        <w:tc>
          <w:tcPr>
            <w:tcW w:w="1919" w:type="dxa"/>
          </w:tcPr>
          <w:p w:rsidR="00273132" w:rsidRDefault="005828A1" w:rsidP="005828A1">
            <w:pPr>
              <w:pStyle w:val="ListParagraph"/>
              <w:ind w:left="0"/>
              <w:jc w:val="right"/>
            </w:pPr>
            <w:r>
              <w:t>7.500.000</w:t>
            </w:r>
          </w:p>
        </w:tc>
        <w:tc>
          <w:tcPr>
            <w:tcW w:w="1914" w:type="dxa"/>
          </w:tcPr>
          <w:p w:rsidR="00273132" w:rsidRPr="005828A1" w:rsidRDefault="005828A1" w:rsidP="005828A1">
            <w:pPr>
              <w:pStyle w:val="ListParagraph"/>
              <w:ind w:left="0"/>
              <w:jc w:val="right"/>
            </w:pPr>
            <w:r>
              <w:t>7.500.000</w:t>
            </w:r>
          </w:p>
        </w:tc>
        <w:tc>
          <w:tcPr>
            <w:tcW w:w="1915" w:type="dxa"/>
            <w:gridSpan w:val="2"/>
          </w:tcPr>
          <w:p w:rsidR="00273132" w:rsidRPr="005828A1" w:rsidRDefault="005828A1" w:rsidP="005828A1">
            <w:pPr>
              <w:pStyle w:val="ListParagraph"/>
              <w:ind w:left="0"/>
              <w:jc w:val="right"/>
            </w:pPr>
            <w:r>
              <w:t>7.500.000</w:t>
            </w:r>
          </w:p>
        </w:tc>
      </w:tr>
      <w:tr w:rsidR="00273132" w:rsidTr="00FB548C">
        <w:tc>
          <w:tcPr>
            <w:tcW w:w="958" w:type="dxa"/>
          </w:tcPr>
          <w:p w:rsidR="00273132" w:rsidRPr="00A07578" w:rsidRDefault="00A07578" w:rsidP="00B66D6D">
            <w:pPr>
              <w:pStyle w:val="ListParagraph"/>
              <w:ind w:left="0"/>
            </w:pPr>
            <w:r>
              <w:t>3.</w:t>
            </w:r>
          </w:p>
        </w:tc>
        <w:tc>
          <w:tcPr>
            <w:tcW w:w="2870" w:type="dxa"/>
          </w:tcPr>
          <w:p w:rsidR="00273132" w:rsidRPr="00A07578" w:rsidRDefault="00A07578" w:rsidP="00B66D6D">
            <w:pPr>
              <w:pStyle w:val="ListParagraph"/>
              <w:ind w:left="0"/>
            </w:pPr>
            <w:r>
              <w:t>Општинско правобранилаштво</w:t>
            </w:r>
          </w:p>
        </w:tc>
        <w:tc>
          <w:tcPr>
            <w:tcW w:w="1919" w:type="dxa"/>
          </w:tcPr>
          <w:p w:rsidR="00273132" w:rsidRDefault="005828A1" w:rsidP="005828A1">
            <w:pPr>
              <w:pStyle w:val="ListParagraph"/>
              <w:ind w:left="0"/>
              <w:jc w:val="right"/>
            </w:pPr>
            <w:r>
              <w:t>1.500.000</w:t>
            </w:r>
          </w:p>
        </w:tc>
        <w:tc>
          <w:tcPr>
            <w:tcW w:w="1914" w:type="dxa"/>
          </w:tcPr>
          <w:p w:rsidR="00273132" w:rsidRPr="005828A1" w:rsidRDefault="005828A1" w:rsidP="005828A1">
            <w:pPr>
              <w:pStyle w:val="ListParagraph"/>
              <w:ind w:left="0"/>
              <w:jc w:val="right"/>
            </w:pPr>
            <w:r>
              <w:t>1.500.000</w:t>
            </w:r>
          </w:p>
        </w:tc>
        <w:tc>
          <w:tcPr>
            <w:tcW w:w="1915" w:type="dxa"/>
            <w:gridSpan w:val="2"/>
          </w:tcPr>
          <w:p w:rsidR="00273132" w:rsidRPr="005828A1" w:rsidRDefault="005828A1" w:rsidP="005828A1">
            <w:pPr>
              <w:pStyle w:val="ListParagraph"/>
              <w:ind w:left="0"/>
              <w:jc w:val="right"/>
            </w:pPr>
            <w:r>
              <w:t>1.1500.000</w:t>
            </w:r>
          </w:p>
        </w:tc>
      </w:tr>
      <w:tr w:rsidR="00273132" w:rsidTr="00FB548C">
        <w:tc>
          <w:tcPr>
            <w:tcW w:w="958" w:type="dxa"/>
          </w:tcPr>
          <w:p w:rsidR="00273132" w:rsidRPr="00A07578" w:rsidRDefault="00A07578" w:rsidP="00B66D6D">
            <w:pPr>
              <w:pStyle w:val="ListParagraph"/>
              <w:ind w:left="0"/>
            </w:pPr>
            <w:r>
              <w:t>4.</w:t>
            </w:r>
          </w:p>
        </w:tc>
        <w:tc>
          <w:tcPr>
            <w:tcW w:w="2870" w:type="dxa"/>
          </w:tcPr>
          <w:p w:rsidR="00273132" w:rsidRPr="00A07578" w:rsidRDefault="00A07578" w:rsidP="00A07578">
            <w:pPr>
              <w:pStyle w:val="ListParagraph"/>
              <w:ind w:left="0"/>
            </w:pPr>
            <w:r>
              <w:t>Општинска управа</w:t>
            </w:r>
          </w:p>
        </w:tc>
        <w:tc>
          <w:tcPr>
            <w:tcW w:w="1919" w:type="dxa"/>
          </w:tcPr>
          <w:p w:rsidR="00273132" w:rsidRDefault="00705A5B" w:rsidP="00705A5B">
            <w:pPr>
              <w:pStyle w:val="ListParagraph"/>
              <w:ind w:left="0"/>
              <w:jc w:val="right"/>
            </w:pPr>
            <w:r>
              <w:t>239</w:t>
            </w:r>
            <w:r w:rsidR="005828A1">
              <w:t>.</w:t>
            </w:r>
            <w:r>
              <w:t>5</w:t>
            </w:r>
            <w:r w:rsidR="005828A1">
              <w:t>00.000</w:t>
            </w:r>
          </w:p>
        </w:tc>
        <w:tc>
          <w:tcPr>
            <w:tcW w:w="1914" w:type="dxa"/>
          </w:tcPr>
          <w:p w:rsidR="00273132" w:rsidRPr="005828A1" w:rsidRDefault="005828A1" w:rsidP="005828A1">
            <w:pPr>
              <w:pStyle w:val="ListParagraph"/>
              <w:ind w:left="0"/>
              <w:jc w:val="right"/>
            </w:pPr>
            <w:r>
              <w:t>2</w:t>
            </w:r>
            <w:r w:rsidR="0046213B">
              <w:t>09.500.000</w:t>
            </w:r>
          </w:p>
        </w:tc>
        <w:tc>
          <w:tcPr>
            <w:tcW w:w="1915" w:type="dxa"/>
            <w:gridSpan w:val="2"/>
          </w:tcPr>
          <w:p w:rsidR="00273132" w:rsidRPr="005828A1" w:rsidRDefault="005828A1" w:rsidP="0046213B">
            <w:pPr>
              <w:pStyle w:val="ListParagraph"/>
              <w:ind w:left="0"/>
              <w:jc w:val="right"/>
            </w:pPr>
            <w:r>
              <w:t>2</w:t>
            </w:r>
            <w:r w:rsidR="0046213B">
              <w:t>09</w:t>
            </w:r>
            <w:r>
              <w:t>.</w:t>
            </w:r>
            <w:r w:rsidR="0046213B">
              <w:t>5</w:t>
            </w:r>
            <w:r>
              <w:t>00.000</w:t>
            </w:r>
          </w:p>
        </w:tc>
      </w:tr>
    </w:tbl>
    <w:p w:rsidR="001A072D" w:rsidRPr="00F60C7F" w:rsidRDefault="001A072D" w:rsidP="00112116">
      <w:pPr>
        <w:pStyle w:val="ListParagraph"/>
        <w:ind w:left="0"/>
      </w:pPr>
    </w:p>
    <w:p w:rsidR="001A072D" w:rsidRDefault="001A072D" w:rsidP="00B66D6D">
      <w:pPr>
        <w:pStyle w:val="ListParagraph"/>
        <w:ind w:left="0" w:firstLine="720"/>
      </w:pPr>
    </w:p>
    <w:p w:rsidR="001A072D" w:rsidRDefault="0070156E" w:rsidP="00B66D6D">
      <w:pPr>
        <w:pStyle w:val="ListParagraph"/>
        <w:ind w:left="0" w:firstLine="720"/>
      </w:pPr>
      <w:r>
        <w:t xml:space="preserve"> У прилогу овог упутства налази се табела са лимитима средстава за сваког индиректног корисника појединачно. Индиректни буџетски корисник у оквиру тако добијеног лимита расподељује средства на програме, програмске активности и/или пројекте, користећи прописану економску класификацију на четири цифре.</w:t>
      </w:r>
    </w:p>
    <w:p w:rsidR="00B8773B" w:rsidRPr="00B8773B" w:rsidRDefault="00B8773B" w:rsidP="00B66D6D">
      <w:pPr>
        <w:pStyle w:val="ListParagraph"/>
        <w:ind w:left="0" w:firstLine="720"/>
      </w:pPr>
    </w:p>
    <w:tbl>
      <w:tblPr>
        <w:tblStyle w:val="TableGrid"/>
        <w:tblW w:w="0" w:type="auto"/>
        <w:tblLook w:val="04A0"/>
      </w:tblPr>
      <w:tblGrid>
        <w:gridCol w:w="958"/>
        <w:gridCol w:w="2870"/>
        <w:gridCol w:w="1919"/>
        <w:gridCol w:w="1914"/>
        <w:gridCol w:w="6"/>
        <w:gridCol w:w="1909"/>
      </w:tblGrid>
      <w:tr w:rsidR="00B8773B" w:rsidTr="005D6693">
        <w:trPr>
          <w:trHeight w:val="298"/>
        </w:trPr>
        <w:tc>
          <w:tcPr>
            <w:tcW w:w="958" w:type="dxa"/>
            <w:vMerge w:val="restart"/>
          </w:tcPr>
          <w:p w:rsidR="00B8773B" w:rsidRDefault="00B8773B" w:rsidP="005D6693">
            <w:pPr>
              <w:pStyle w:val="ListParagraph"/>
              <w:ind w:left="0"/>
            </w:pPr>
            <w:r>
              <w:t>Раздео</w:t>
            </w:r>
          </w:p>
          <w:p w:rsidR="00705A5B" w:rsidRPr="00705A5B" w:rsidRDefault="00705A5B" w:rsidP="005D6693">
            <w:pPr>
              <w:pStyle w:val="ListParagraph"/>
              <w:ind w:left="0"/>
            </w:pPr>
            <w:r>
              <w:t>Глава</w:t>
            </w:r>
          </w:p>
        </w:tc>
        <w:tc>
          <w:tcPr>
            <w:tcW w:w="2870" w:type="dxa"/>
            <w:vMerge w:val="restart"/>
          </w:tcPr>
          <w:p w:rsidR="00B8773B" w:rsidRPr="00273132" w:rsidRDefault="00B8773B" w:rsidP="005D6693">
            <w:pPr>
              <w:pStyle w:val="ListParagraph"/>
              <w:ind w:left="0"/>
              <w:jc w:val="center"/>
            </w:pPr>
            <w:r>
              <w:t>Опис</w:t>
            </w:r>
          </w:p>
        </w:tc>
        <w:tc>
          <w:tcPr>
            <w:tcW w:w="5748" w:type="dxa"/>
            <w:gridSpan w:val="4"/>
            <w:tcBorders>
              <w:bottom w:val="single" w:sz="4" w:space="0" w:color="auto"/>
            </w:tcBorders>
          </w:tcPr>
          <w:p w:rsidR="00B8773B" w:rsidRPr="00273132" w:rsidRDefault="00B8773B" w:rsidP="005D6693">
            <w:pPr>
              <w:pStyle w:val="ListParagraph"/>
              <w:ind w:left="0"/>
              <w:jc w:val="center"/>
            </w:pPr>
            <w:r>
              <w:t>Пројекција за</w:t>
            </w:r>
          </w:p>
        </w:tc>
      </w:tr>
      <w:tr w:rsidR="00B8773B" w:rsidTr="005D6693">
        <w:trPr>
          <w:trHeight w:val="234"/>
        </w:trPr>
        <w:tc>
          <w:tcPr>
            <w:tcW w:w="958" w:type="dxa"/>
            <w:vMerge/>
          </w:tcPr>
          <w:p w:rsidR="00B8773B" w:rsidRDefault="00B8773B" w:rsidP="005D6693">
            <w:pPr>
              <w:pStyle w:val="ListParagraph"/>
              <w:ind w:left="0"/>
            </w:pPr>
          </w:p>
        </w:tc>
        <w:tc>
          <w:tcPr>
            <w:tcW w:w="2870" w:type="dxa"/>
            <w:vMerge/>
          </w:tcPr>
          <w:p w:rsidR="00B8773B" w:rsidRDefault="00B8773B" w:rsidP="005D6693">
            <w:pPr>
              <w:pStyle w:val="ListParagraph"/>
              <w:ind w:left="0"/>
              <w:jc w:val="center"/>
            </w:pPr>
          </w:p>
        </w:tc>
        <w:tc>
          <w:tcPr>
            <w:tcW w:w="1919" w:type="dxa"/>
            <w:tcBorders>
              <w:top w:val="single" w:sz="4" w:space="0" w:color="auto"/>
              <w:right w:val="single" w:sz="4" w:space="0" w:color="auto"/>
            </w:tcBorders>
          </w:tcPr>
          <w:p w:rsidR="00B8773B" w:rsidRPr="00CF4C0F" w:rsidRDefault="00B8773B" w:rsidP="00CF4C0F">
            <w:pPr>
              <w:pStyle w:val="ListParagraph"/>
              <w:ind w:left="0"/>
              <w:jc w:val="center"/>
            </w:pPr>
            <w:r>
              <w:t>201</w:t>
            </w:r>
            <w:r w:rsidR="00CF4C0F">
              <w:t>9</w:t>
            </w:r>
          </w:p>
        </w:tc>
        <w:tc>
          <w:tcPr>
            <w:tcW w:w="1920" w:type="dxa"/>
            <w:gridSpan w:val="2"/>
            <w:tcBorders>
              <w:top w:val="single" w:sz="4" w:space="0" w:color="auto"/>
              <w:left w:val="single" w:sz="4" w:space="0" w:color="auto"/>
              <w:right w:val="single" w:sz="4" w:space="0" w:color="auto"/>
            </w:tcBorders>
          </w:tcPr>
          <w:p w:rsidR="00B8773B" w:rsidRPr="00CF4C0F" w:rsidRDefault="00B8773B" w:rsidP="00CF4C0F">
            <w:pPr>
              <w:pStyle w:val="ListParagraph"/>
              <w:ind w:left="0"/>
              <w:jc w:val="center"/>
            </w:pPr>
            <w:r>
              <w:t>20</w:t>
            </w:r>
            <w:r w:rsidR="00CF4C0F">
              <w:t>20</w:t>
            </w:r>
          </w:p>
        </w:tc>
        <w:tc>
          <w:tcPr>
            <w:tcW w:w="1909" w:type="dxa"/>
            <w:tcBorders>
              <w:top w:val="single" w:sz="4" w:space="0" w:color="auto"/>
              <w:left w:val="single" w:sz="4" w:space="0" w:color="auto"/>
            </w:tcBorders>
          </w:tcPr>
          <w:p w:rsidR="00B8773B" w:rsidRPr="00CF4C0F" w:rsidRDefault="00B8773B" w:rsidP="005D6693">
            <w:pPr>
              <w:pStyle w:val="ListParagraph"/>
              <w:ind w:left="0"/>
              <w:jc w:val="center"/>
            </w:pPr>
            <w:r>
              <w:t>202</w:t>
            </w:r>
            <w:r w:rsidR="00CF4C0F">
              <w:t>1</w:t>
            </w:r>
          </w:p>
        </w:tc>
      </w:tr>
      <w:tr w:rsidR="00B8773B" w:rsidTr="005D6693">
        <w:tc>
          <w:tcPr>
            <w:tcW w:w="958" w:type="dxa"/>
          </w:tcPr>
          <w:p w:rsidR="00B8773B" w:rsidRPr="00B8773B" w:rsidRDefault="00B8773B" w:rsidP="005D6693">
            <w:pPr>
              <w:pStyle w:val="ListParagraph"/>
              <w:ind w:left="0"/>
            </w:pPr>
            <w:r>
              <w:t>4.</w:t>
            </w:r>
          </w:p>
        </w:tc>
        <w:tc>
          <w:tcPr>
            <w:tcW w:w="2870" w:type="dxa"/>
          </w:tcPr>
          <w:p w:rsidR="00B8773B" w:rsidRPr="00B8773B" w:rsidRDefault="00B8773B" w:rsidP="005D6693">
            <w:pPr>
              <w:pStyle w:val="ListParagraph"/>
              <w:ind w:left="0"/>
            </w:pPr>
            <w:r>
              <w:t>Народна библиотека</w:t>
            </w:r>
          </w:p>
        </w:tc>
        <w:tc>
          <w:tcPr>
            <w:tcW w:w="1919" w:type="dxa"/>
            <w:tcBorders>
              <w:right w:val="single" w:sz="4" w:space="0" w:color="auto"/>
            </w:tcBorders>
          </w:tcPr>
          <w:p w:rsidR="00B8773B" w:rsidRPr="00B8773B" w:rsidRDefault="00B8773B" w:rsidP="000C2043">
            <w:pPr>
              <w:pStyle w:val="ListParagraph"/>
              <w:ind w:left="0"/>
              <w:jc w:val="right"/>
            </w:pPr>
            <w:r>
              <w:t>1</w:t>
            </w:r>
            <w:r w:rsidR="000C2043">
              <w:t>5</w:t>
            </w:r>
            <w:r>
              <w:t>.000.000</w:t>
            </w:r>
          </w:p>
        </w:tc>
        <w:tc>
          <w:tcPr>
            <w:tcW w:w="1914" w:type="dxa"/>
            <w:tcBorders>
              <w:left w:val="single" w:sz="4" w:space="0" w:color="auto"/>
              <w:right w:val="single" w:sz="4" w:space="0" w:color="auto"/>
            </w:tcBorders>
          </w:tcPr>
          <w:p w:rsidR="00B8773B" w:rsidRPr="005828A1" w:rsidRDefault="0046213B" w:rsidP="005D6693">
            <w:pPr>
              <w:pStyle w:val="ListParagraph"/>
              <w:ind w:left="0"/>
              <w:jc w:val="right"/>
            </w:pPr>
            <w:r>
              <w:t>14.000.000</w:t>
            </w:r>
          </w:p>
        </w:tc>
        <w:tc>
          <w:tcPr>
            <w:tcW w:w="1915" w:type="dxa"/>
            <w:gridSpan w:val="2"/>
            <w:tcBorders>
              <w:left w:val="single" w:sz="4" w:space="0" w:color="auto"/>
            </w:tcBorders>
          </w:tcPr>
          <w:p w:rsidR="00B8773B" w:rsidRPr="005828A1" w:rsidRDefault="0046213B" w:rsidP="005D6693">
            <w:pPr>
              <w:pStyle w:val="ListParagraph"/>
              <w:ind w:left="0"/>
              <w:jc w:val="right"/>
            </w:pPr>
            <w:r>
              <w:t>14.000.000</w:t>
            </w:r>
          </w:p>
        </w:tc>
      </w:tr>
      <w:tr w:rsidR="00B8773B" w:rsidTr="005D6693">
        <w:tc>
          <w:tcPr>
            <w:tcW w:w="958" w:type="dxa"/>
          </w:tcPr>
          <w:p w:rsidR="00B8773B" w:rsidRPr="00A07578" w:rsidRDefault="00B8773B" w:rsidP="005D6693">
            <w:pPr>
              <w:pStyle w:val="ListParagraph"/>
              <w:ind w:left="0"/>
            </w:pPr>
          </w:p>
        </w:tc>
        <w:tc>
          <w:tcPr>
            <w:tcW w:w="2870" w:type="dxa"/>
          </w:tcPr>
          <w:p w:rsidR="00B8773B" w:rsidRPr="00B8773B" w:rsidRDefault="00B8773B" w:rsidP="005D6693">
            <w:pPr>
              <w:pStyle w:val="ListParagraph"/>
              <w:ind w:left="0"/>
            </w:pPr>
            <w:r>
              <w:t>Спортски центар Ћићевац</w:t>
            </w:r>
          </w:p>
        </w:tc>
        <w:tc>
          <w:tcPr>
            <w:tcW w:w="1919" w:type="dxa"/>
          </w:tcPr>
          <w:p w:rsidR="00B8773B" w:rsidRPr="00B8773B" w:rsidRDefault="00B8773B" w:rsidP="005D6693">
            <w:pPr>
              <w:pStyle w:val="ListParagraph"/>
              <w:ind w:left="0"/>
              <w:jc w:val="right"/>
            </w:pPr>
            <w:r>
              <w:t>7.000.000</w:t>
            </w:r>
          </w:p>
        </w:tc>
        <w:tc>
          <w:tcPr>
            <w:tcW w:w="1914" w:type="dxa"/>
          </w:tcPr>
          <w:p w:rsidR="00B8773B" w:rsidRPr="005828A1" w:rsidRDefault="0046213B" w:rsidP="005D6693">
            <w:pPr>
              <w:pStyle w:val="ListParagraph"/>
              <w:ind w:left="0"/>
              <w:jc w:val="right"/>
            </w:pPr>
            <w:r>
              <w:t>6.500.000</w:t>
            </w:r>
          </w:p>
        </w:tc>
        <w:tc>
          <w:tcPr>
            <w:tcW w:w="1915" w:type="dxa"/>
            <w:gridSpan w:val="2"/>
          </w:tcPr>
          <w:p w:rsidR="00B8773B" w:rsidRPr="005828A1" w:rsidRDefault="0046213B" w:rsidP="005D6693">
            <w:pPr>
              <w:pStyle w:val="ListParagraph"/>
              <w:ind w:left="0"/>
              <w:jc w:val="right"/>
            </w:pPr>
            <w:r>
              <w:t>6.500.000</w:t>
            </w:r>
          </w:p>
        </w:tc>
      </w:tr>
      <w:tr w:rsidR="00B8773B" w:rsidTr="005D6693">
        <w:tc>
          <w:tcPr>
            <w:tcW w:w="958" w:type="dxa"/>
          </w:tcPr>
          <w:p w:rsidR="00B8773B" w:rsidRPr="00A07578" w:rsidRDefault="00B8773B" w:rsidP="005D6693">
            <w:pPr>
              <w:pStyle w:val="ListParagraph"/>
              <w:ind w:left="0"/>
            </w:pPr>
          </w:p>
        </w:tc>
        <w:tc>
          <w:tcPr>
            <w:tcW w:w="2870" w:type="dxa"/>
          </w:tcPr>
          <w:p w:rsidR="00B8773B" w:rsidRPr="00B8773B" w:rsidRDefault="00B8773B" w:rsidP="005D6693">
            <w:pPr>
              <w:pStyle w:val="ListParagraph"/>
              <w:ind w:left="0"/>
            </w:pPr>
            <w:r>
              <w:t>Предшколска установа</w:t>
            </w:r>
          </w:p>
        </w:tc>
        <w:tc>
          <w:tcPr>
            <w:tcW w:w="1919" w:type="dxa"/>
          </w:tcPr>
          <w:p w:rsidR="00B8773B" w:rsidRPr="00B8773B" w:rsidRDefault="00B8773B" w:rsidP="005D6693">
            <w:pPr>
              <w:pStyle w:val="ListParagraph"/>
              <w:ind w:left="0"/>
              <w:jc w:val="right"/>
            </w:pPr>
            <w:r>
              <w:t>31.000.000</w:t>
            </w:r>
          </w:p>
        </w:tc>
        <w:tc>
          <w:tcPr>
            <w:tcW w:w="1914" w:type="dxa"/>
          </w:tcPr>
          <w:p w:rsidR="00B8773B" w:rsidRPr="005828A1" w:rsidRDefault="0046213B" w:rsidP="005D6693">
            <w:pPr>
              <w:pStyle w:val="ListParagraph"/>
              <w:ind w:left="0"/>
              <w:jc w:val="right"/>
            </w:pPr>
            <w:r>
              <w:t>31.000.000</w:t>
            </w:r>
          </w:p>
        </w:tc>
        <w:tc>
          <w:tcPr>
            <w:tcW w:w="1915" w:type="dxa"/>
            <w:gridSpan w:val="2"/>
          </w:tcPr>
          <w:p w:rsidR="00B8773B" w:rsidRPr="005828A1" w:rsidRDefault="0046213B" w:rsidP="005D6693">
            <w:pPr>
              <w:pStyle w:val="ListParagraph"/>
              <w:ind w:left="0"/>
              <w:jc w:val="right"/>
            </w:pPr>
            <w:r>
              <w:t>31.000.000</w:t>
            </w:r>
          </w:p>
        </w:tc>
      </w:tr>
      <w:tr w:rsidR="00B8773B" w:rsidTr="005D6693">
        <w:tc>
          <w:tcPr>
            <w:tcW w:w="958" w:type="dxa"/>
          </w:tcPr>
          <w:p w:rsidR="00B8773B" w:rsidRPr="00A07578" w:rsidRDefault="00B8773B" w:rsidP="005D6693">
            <w:pPr>
              <w:pStyle w:val="ListParagraph"/>
              <w:ind w:left="0"/>
            </w:pPr>
          </w:p>
        </w:tc>
        <w:tc>
          <w:tcPr>
            <w:tcW w:w="2870" w:type="dxa"/>
          </w:tcPr>
          <w:p w:rsidR="00B8773B" w:rsidRPr="00B8773B" w:rsidRDefault="00B8773B" w:rsidP="005D6693">
            <w:pPr>
              <w:pStyle w:val="ListParagraph"/>
              <w:ind w:left="0"/>
            </w:pPr>
            <w:r>
              <w:t>Месне заједнице</w:t>
            </w:r>
          </w:p>
        </w:tc>
        <w:tc>
          <w:tcPr>
            <w:tcW w:w="1919" w:type="dxa"/>
          </w:tcPr>
          <w:p w:rsidR="00B8773B" w:rsidRPr="00B8773B" w:rsidRDefault="00B8773B" w:rsidP="005D6693">
            <w:pPr>
              <w:pStyle w:val="ListParagraph"/>
              <w:ind w:left="0"/>
              <w:jc w:val="right"/>
            </w:pPr>
            <w:r>
              <w:t>5.500.000</w:t>
            </w:r>
          </w:p>
        </w:tc>
        <w:tc>
          <w:tcPr>
            <w:tcW w:w="1914" w:type="dxa"/>
          </w:tcPr>
          <w:p w:rsidR="00B8773B" w:rsidRPr="005828A1" w:rsidRDefault="0046213B" w:rsidP="005D6693">
            <w:pPr>
              <w:pStyle w:val="ListParagraph"/>
              <w:ind w:left="0"/>
              <w:jc w:val="right"/>
            </w:pPr>
            <w:r>
              <w:t>5.000.000</w:t>
            </w:r>
          </w:p>
        </w:tc>
        <w:tc>
          <w:tcPr>
            <w:tcW w:w="1915" w:type="dxa"/>
            <w:gridSpan w:val="2"/>
          </w:tcPr>
          <w:p w:rsidR="00B8773B" w:rsidRPr="005828A1" w:rsidRDefault="0046213B" w:rsidP="005D6693">
            <w:pPr>
              <w:pStyle w:val="ListParagraph"/>
              <w:ind w:left="0"/>
              <w:jc w:val="right"/>
            </w:pPr>
            <w:r>
              <w:t>5.000.000</w:t>
            </w:r>
          </w:p>
        </w:tc>
      </w:tr>
      <w:tr w:rsidR="00B8773B" w:rsidTr="005D6693">
        <w:tc>
          <w:tcPr>
            <w:tcW w:w="958" w:type="dxa"/>
          </w:tcPr>
          <w:p w:rsidR="00B8773B" w:rsidRPr="00A07578" w:rsidRDefault="00B8773B" w:rsidP="005D6693">
            <w:pPr>
              <w:pStyle w:val="ListParagraph"/>
              <w:ind w:left="0"/>
            </w:pPr>
          </w:p>
        </w:tc>
        <w:tc>
          <w:tcPr>
            <w:tcW w:w="2870" w:type="dxa"/>
          </w:tcPr>
          <w:p w:rsidR="00B8773B" w:rsidRPr="00B8773B" w:rsidRDefault="00B8773B" w:rsidP="005D6693">
            <w:pPr>
              <w:pStyle w:val="ListParagraph"/>
              <w:ind w:left="0"/>
            </w:pPr>
            <w:r>
              <w:t>Спорски центар Сталаћ-Град Сталаћ</w:t>
            </w:r>
          </w:p>
        </w:tc>
        <w:tc>
          <w:tcPr>
            <w:tcW w:w="1919" w:type="dxa"/>
          </w:tcPr>
          <w:p w:rsidR="00B8773B" w:rsidRPr="00B8773B" w:rsidRDefault="00B8773B" w:rsidP="005D6693">
            <w:pPr>
              <w:pStyle w:val="ListParagraph"/>
              <w:ind w:left="0"/>
              <w:jc w:val="right"/>
            </w:pPr>
            <w:r>
              <w:t>1.000.000</w:t>
            </w:r>
          </w:p>
        </w:tc>
        <w:tc>
          <w:tcPr>
            <w:tcW w:w="1914" w:type="dxa"/>
          </w:tcPr>
          <w:p w:rsidR="00B8773B" w:rsidRPr="005828A1" w:rsidRDefault="0046213B" w:rsidP="005D6693">
            <w:pPr>
              <w:pStyle w:val="ListParagraph"/>
              <w:ind w:left="0"/>
              <w:jc w:val="right"/>
            </w:pPr>
            <w:r>
              <w:t>1.000.000</w:t>
            </w:r>
          </w:p>
        </w:tc>
        <w:tc>
          <w:tcPr>
            <w:tcW w:w="1915" w:type="dxa"/>
            <w:gridSpan w:val="2"/>
          </w:tcPr>
          <w:p w:rsidR="00B8773B" w:rsidRPr="005828A1" w:rsidRDefault="0046213B" w:rsidP="005D6693">
            <w:pPr>
              <w:pStyle w:val="ListParagraph"/>
              <w:ind w:left="0"/>
              <w:jc w:val="right"/>
            </w:pPr>
            <w:r>
              <w:t>1.000.000</w:t>
            </w:r>
          </w:p>
        </w:tc>
      </w:tr>
      <w:tr w:rsidR="00B8773B" w:rsidTr="005D6693">
        <w:tc>
          <w:tcPr>
            <w:tcW w:w="958" w:type="dxa"/>
          </w:tcPr>
          <w:p w:rsidR="00B8773B" w:rsidRDefault="00B8773B" w:rsidP="005D6693">
            <w:pPr>
              <w:pStyle w:val="ListParagraph"/>
              <w:ind w:left="0"/>
            </w:pPr>
          </w:p>
        </w:tc>
        <w:tc>
          <w:tcPr>
            <w:tcW w:w="2870" w:type="dxa"/>
          </w:tcPr>
          <w:p w:rsidR="00B8773B" w:rsidRPr="005828A1" w:rsidRDefault="00B8773B" w:rsidP="005D6693">
            <w:pPr>
              <w:pStyle w:val="ListParagraph"/>
              <w:ind w:left="0"/>
            </w:pPr>
            <w:r>
              <w:t>Укупно:</w:t>
            </w:r>
          </w:p>
        </w:tc>
        <w:tc>
          <w:tcPr>
            <w:tcW w:w="1919" w:type="dxa"/>
          </w:tcPr>
          <w:p w:rsidR="00B8773B" w:rsidRPr="00705A5B" w:rsidRDefault="00705A5B" w:rsidP="005D6693">
            <w:pPr>
              <w:pStyle w:val="ListParagraph"/>
              <w:ind w:left="0"/>
              <w:jc w:val="right"/>
            </w:pPr>
            <w:r>
              <w:t>332.000.000</w:t>
            </w:r>
          </w:p>
        </w:tc>
        <w:tc>
          <w:tcPr>
            <w:tcW w:w="1914" w:type="dxa"/>
          </w:tcPr>
          <w:p w:rsidR="00B8773B" w:rsidRPr="0046213B" w:rsidRDefault="0046213B" w:rsidP="005D6693">
            <w:pPr>
              <w:pStyle w:val="ListParagraph"/>
              <w:ind w:left="0"/>
              <w:jc w:val="right"/>
            </w:pPr>
            <w:r>
              <w:t>300.000.000</w:t>
            </w:r>
          </w:p>
        </w:tc>
        <w:tc>
          <w:tcPr>
            <w:tcW w:w="1915" w:type="dxa"/>
            <w:gridSpan w:val="2"/>
          </w:tcPr>
          <w:p w:rsidR="00B8773B" w:rsidRPr="0046213B" w:rsidRDefault="0046213B" w:rsidP="005D6693">
            <w:pPr>
              <w:pStyle w:val="ListParagraph"/>
              <w:ind w:left="0"/>
              <w:jc w:val="right"/>
            </w:pPr>
            <w:r>
              <w:t>300.000.000</w:t>
            </w:r>
          </w:p>
        </w:tc>
      </w:tr>
    </w:tbl>
    <w:p w:rsidR="00B8773B" w:rsidRDefault="00B8773B" w:rsidP="00B66D6D">
      <w:pPr>
        <w:pStyle w:val="ListParagraph"/>
        <w:ind w:left="0" w:firstLine="720"/>
      </w:pPr>
    </w:p>
    <w:p w:rsidR="00B8773B" w:rsidRPr="00B8773B" w:rsidRDefault="00B8773B" w:rsidP="00B66D6D">
      <w:pPr>
        <w:pStyle w:val="ListParagraph"/>
        <w:ind w:left="0" w:firstLine="720"/>
      </w:pPr>
    </w:p>
    <w:p w:rsidR="001A072D" w:rsidRDefault="0070156E" w:rsidP="00B66D6D">
      <w:pPr>
        <w:pStyle w:val="ListParagraph"/>
        <w:ind w:left="0" w:firstLine="720"/>
      </w:pPr>
      <w:r>
        <w:t xml:space="preserve"> Индиректни буџетски корисник може доставити и захтев за додатна средства, при чему наводи програм, програмску активност или пројекат, и детаљно га образлаже директном кориснику у допису уз предлог финансијског плана. </w:t>
      </w:r>
    </w:p>
    <w:p w:rsidR="001A072D" w:rsidRDefault="001A072D" w:rsidP="00B66D6D">
      <w:pPr>
        <w:pStyle w:val="ListParagraph"/>
        <w:ind w:left="0" w:firstLine="720"/>
      </w:pPr>
    </w:p>
    <w:p w:rsidR="001A072D" w:rsidRDefault="0070156E" w:rsidP="00B66D6D">
      <w:pPr>
        <w:pStyle w:val="ListParagraph"/>
        <w:ind w:left="0" w:firstLine="720"/>
        <w:rPr>
          <w:b/>
        </w:rPr>
      </w:pPr>
      <w:r w:rsidRPr="001A072D">
        <w:rPr>
          <w:b/>
        </w:rPr>
        <w:t>V СМЕРНИЦЕ ЗА ПРИПРЕМУ СРЕДЊОРОЧНИХ ПЛАНОВА</w:t>
      </w:r>
    </w:p>
    <w:p w:rsidR="00E75DBD" w:rsidRPr="001A072D" w:rsidRDefault="00E75DBD" w:rsidP="00B66D6D">
      <w:pPr>
        <w:pStyle w:val="ListParagraph"/>
        <w:ind w:left="0" w:firstLine="720"/>
        <w:rPr>
          <w:b/>
        </w:rPr>
      </w:pPr>
    </w:p>
    <w:p w:rsidR="001A072D" w:rsidRDefault="0070156E" w:rsidP="00B66D6D">
      <w:pPr>
        <w:pStyle w:val="ListParagraph"/>
        <w:ind w:left="0" w:firstLine="720"/>
      </w:pPr>
      <w:r>
        <w:t xml:space="preserve"> Према дефиницијама Закона о буџетском систему, средњорочни план је свеобухватни план буџетског корисника који садржи детаљну разраду програма, пројеката и програмских активности за буџетску годину са пројекцијама за наредне две године, према средњорочним циљевима и приоритетима, који служе као основа за израду образложења финансијског плана тог корисника и израђује се у складу са упутством за припрему буџета. Програмска структура корисника буџетских средстава, дефинише индикаторе остварења циљева за трогодишњи период, и на тај начин интегрише средњорочне циљеве који су дефинисани стратешким и другим планским документима из надлежности буџетског корисника. </w:t>
      </w:r>
    </w:p>
    <w:p w:rsidR="001A072D" w:rsidRDefault="0070156E" w:rsidP="00B66D6D">
      <w:pPr>
        <w:pStyle w:val="ListParagraph"/>
        <w:ind w:left="0" w:firstLine="720"/>
      </w:pPr>
      <w:r>
        <w:t xml:space="preserve">Основна смерница за средњорочно утврђивање циљева који се имплементирају кроз програмски модел буџета дефинисањем трогодишњих мерљивих индикатора, налаже крајње опрезан, приступ, руковођен детаљним анализама и пројекцијама које се морају заснивати и на пажљивом  сагледавању и дефинисању ризика, а како би обавезе које преузимају буџетски корисници биле преузете уз највиши степен фискалне одговорности. </w:t>
      </w:r>
    </w:p>
    <w:p w:rsidR="001A072D" w:rsidRDefault="001A072D" w:rsidP="00B66D6D">
      <w:pPr>
        <w:pStyle w:val="ListParagraph"/>
        <w:ind w:left="0" w:firstLine="720"/>
      </w:pPr>
    </w:p>
    <w:p w:rsidR="001A072D" w:rsidRPr="001A072D" w:rsidRDefault="0070156E" w:rsidP="00B66D6D">
      <w:pPr>
        <w:pStyle w:val="ListParagraph"/>
        <w:ind w:left="0" w:firstLine="720"/>
        <w:rPr>
          <w:b/>
        </w:rPr>
      </w:pPr>
      <w:r w:rsidRPr="001A072D">
        <w:rPr>
          <w:b/>
        </w:rPr>
        <w:t xml:space="preserve">VI ПОСТУПАК И ДИНАМИКА ПРИПРЕМЕ БУЏЕТА ОПШТИНЕ </w:t>
      </w:r>
      <w:r w:rsidR="001A072D" w:rsidRPr="001A072D">
        <w:rPr>
          <w:b/>
        </w:rPr>
        <w:t>ЋИЋЕВАЦ</w:t>
      </w:r>
      <w:r w:rsidRPr="001A072D">
        <w:rPr>
          <w:b/>
        </w:rPr>
        <w:t xml:space="preserve"> И ПРЕДЛОГА ФИНАНСИЈСКИХ ПЛАНОВА КОРИСНИКА СРЕДСТАВА БУЏЕТА ОПШТИНЕ </w:t>
      </w:r>
      <w:r w:rsidR="001A072D" w:rsidRPr="001A072D">
        <w:rPr>
          <w:b/>
        </w:rPr>
        <w:t>ЋИЋЕВАЦ</w:t>
      </w:r>
    </w:p>
    <w:p w:rsidR="001A072D" w:rsidRDefault="001A072D" w:rsidP="00B66D6D">
      <w:pPr>
        <w:pStyle w:val="ListParagraph"/>
        <w:ind w:left="0" w:firstLine="720"/>
      </w:pPr>
    </w:p>
    <w:p w:rsidR="001A072D" w:rsidRDefault="0070156E" w:rsidP="00B66D6D">
      <w:pPr>
        <w:pStyle w:val="ListParagraph"/>
        <w:ind w:left="0" w:firstLine="720"/>
      </w:pPr>
      <w:r>
        <w:t xml:space="preserve"> У складу са чланом 40. Закона о буџетском систему, локални орган управе надлежан за финансије доставља директним корисницима средстава буџета локалне власти упутство за припрему буџета локалне власти.</w:t>
      </w:r>
    </w:p>
    <w:p w:rsidR="001A072D" w:rsidRDefault="0070156E" w:rsidP="00B66D6D">
      <w:pPr>
        <w:pStyle w:val="ListParagraph"/>
        <w:ind w:left="0" w:firstLine="720"/>
      </w:pPr>
      <w:r>
        <w:t xml:space="preserve"> На основу упутства за припрему буџета, корисници буџетских средстава припремају предлог финансијског плана по програмском моделу. </w:t>
      </w:r>
    </w:p>
    <w:p w:rsidR="001A072D" w:rsidRDefault="0070156E" w:rsidP="00B66D6D">
      <w:pPr>
        <w:pStyle w:val="ListParagraph"/>
        <w:ind w:left="0" w:firstLine="720"/>
      </w:pPr>
      <w:r>
        <w:t xml:space="preserve">Предлог финансиског плана буџетског корисника треба да садржи детаљну разраду свих програма, програмских активности и пројеката за наредну годину, са пројекцијама за наредне две године и то у складу са средњорочним циљевима и приоритетима који су утврђени Стратегијом одрживог развоја општине </w:t>
      </w:r>
      <w:r w:rsidR="00E1689E">
        <w:t>Ћићевац</w:t>
      </w:r>
      <w:r>
        <w:t>.</w:t>
      </w:r>
    </w:p>
    <w:p w:rsidR="002F050A" w:rsidRPr="002F050A" w:rsidRDefault="002F050A" w:rsidP="00B66D6D">
      <w:pPr>
        <w:pStyle w:val="ListParagraph"/>
        <w:ind w:left="0" w:firstLine="720"/>
      </w:pPr>
    </w:p>
    <w:p w:rsidR="001A072D" w:rsidRDefault="0070156E" w:rsidP="00B66D6D">
      <w:pPr>
        <w:pStyle w:val="ListParagraph"/>
        <w:ind w:left="0" w:firstLine="720"/>
      </w:pPr>
      <w:r>
        <w:t xml:space="preserve"> Предлог финансијског плана обухвата:</w:t>
      </w:r>
    </w:p>
    <w:p w:rsidR="002F050A" w:rsidRPr="002F050A" w:rsidRDefault="002F050A" w:rsidP="00B66D6D">
      <w:pPr>
        <w:pStyle w:val="ListParagraph"/>
        <w:ind w:left="0" w:firstLine="720"/>
      </w:pPr>
    </w:p>
    <w:p w:rsidR="001A072D" w:rsidRDefault="0070156E" w:rsidP="00F60C7F">
      <w:pPr>
        <w:pStyle w:val="ListParagraph"/>
      </w:pPr>
      <w:r>
        <w:t xml:space="preserve"> 1)</w:t>
      </w:r>
      <w:r w:rsidR="00F60C7F">
        <w:t>приходе и примања ,</w:t>
      </w:r>
      <w:r>
        <w:t xml:space="preserve"> расходе и издатке за трогодишњи период, исказане по буџетској класификацији;</w:t>
      </w:r>
    </w:p>
    <w:p w:rsidR="001A072D" w:rsidRPr="001A072D" w:rsidRDefault="0070156E" w:rsidP="00B66D6D">
      <w:pPr>
        <w:pStyle w:val="ListParagraph"/>
        <w:ind w:left="0" w:firstLine="720"/>
      </w:pPr>
      <w:r>
        <w:t xml:space="preserve"> 2) детаљно писано образложење расхода и изд</w:t>
      </w:r>
      <w:r w:rsidR="001A072D">
        <w:t>атака, као и извора финансирања;</w:t>
      </w:r>
    </w:p>
    <w:p w:rsidR="001A072D" w:rsidRDefault="0070156E" w:rsidP="00B66D6D">
      <w:pPr>
        <w:pStyle w:val="ListParagraph"/>
        <w:ind w:left="0" w:firstLine="720"/>
      </w:pPr>
      <w:r>
        <w:t xml:space="preserve"> 3) родну анализу расхода и издатака;</w:t>
      </w:r>
    </w:p>
    <w:p w:rsidR="00795F5D" w:rsidRPr="002F050A" w:rsidRDefault="0070156E" w:rsidP="00B66D6D">
      <w:pPr>
        <w:pStyle w:val="ListParagraph"/>
        <w:ind w:left="0" w:firstLine="720"/>
      </w:pPr>
      <w:r>
        <w:t xml:space="preserve"> 4) програмске информације </w:t>
      </w:r>
      <w:r w:rsidR="002F050A">
        <w:t>.</w:t>
      </w:r>
    </w:p>
    <w:p w:rsidR="001A072D" w:rsidRDefault="001A072D" w:rsidP="00B66D6D">
      <w:pPr>
        <w:pStyle w:val="ListParagraph"/>
        <w:ind w:left="0" w:firstLine="720"/>
      </w:pPr>
    </w:p>
    <w:p w:rsidR="001A072D" w:rsidRDefault="0070156E" w:rsidP="00B66D6D">
      <w:pPr>
        <w:pStyle w:val="ListParagraph"/>
        <w:ind w:left="0" w:firstLine="720"/>
      </w:pPr>
      <w:r>
        <w:t xml:space="preserve"> Предлог финансијског плана садржи следеће табеле (обрасце): </w:t>
      </w:r>
    </w:p>
    <w:p w:rsidR="00795F5D" w:rsidRPr="00795F5D" w:rsidRDefault="00795F5D" w:rsidP="00B66D6D">
      <w:pPr>
        <w:pStyle w:val="ListParagraph"/>
        <w:ind w:left="0" w:firstLine="720"/>
      </w:pPr>
    </w:p>
    <w:p w:rsidR="001A072D" w:rsidRDefault="0070156E" w:rsidP="00B66D6D">
      <w:pPr>
        <w:pStyle w:val="ListParagraph"/>
        <w:ind w:left="0" w:firstLine="720"/>
      </w:pPr>
      <w:r>
        <w:t xml:space="preserve">1) План </w:t>
      </w:r>
      <w:r w:rsidR="00625DD3">
        <w:t xml:space="preserve">прихода и примања , </w:t>
      </w:r>
      <w:r>
        <w:t xml:space="preserve">расхода и издатака, </w:t>
      </w:r>
    </w:p>
    <w:p w:rsidR="001A072D" w:rsidRDefault="0070156E" w:rsidP="00B66D6D">
      <w:pPr>
        <w:pStyle w:val="ListParagraph"/>
        <w:ind w:left="0" w:firstLine="720"/>
      </w:pPr>
      <w:r>
        <w:t>2) Програмску структуру плана са дефинисаним циљевима и индикаторима,</w:t>
      </w:r>
    </w:p>
    <w:p w:rsidR="001A072D" w:rsidRDefault="0070156E" w:rsidP="00B66D6D">
      <w:pPr>
        <w:pStyle w:val="ListParagraph"/>
        <w:ind w:left="0" w:firstLine="720"/>
      </w:pPr>
      <w:r>
        <w:lastRenderedPageBreak/>
        <w:t xml:space="preserve"> 3) План капиталних улагања и</w:t>
      </w:r>
    </w:p>
    <w:p w:rsidR="001A072D" w:rsidRDefault="0070156E" w:rsidP="00B66D6D">
      <w:pPr>
        <w:pStyle w:val="ListParagraph"/>
        <w:ind w:left="0" w:firstLine="720"/>
      </w:pPr>
      <w:r>
        <w:t xml:space="preserve"> 4) План плата и броја запослених. </w:t>
      </w:r>
    </w:p>
    <w:p w:rsidR="001A072D" w:rsidRDefault="0070156E" w:rsidP="00B66D6D">
      <w:pPr>
        <w:pStyle w:val="ListParagraph"/>
        <w:ind w:left="0" w:firstLine="720"/>
      </w:pPr>
      <w:r>
        <w:t>Као прилог предлога финансијског плана директни корисници буџетских средстава достављају извештај о учинку програма за првих шест месеци текуће године.</w:t>
      </w:r>
    </w:p>
    <w:p w:rsidR="00EE7343" w:rsidRPr="00EE7343" w:rsidRDefault="00EE7343" w:rsidP="00B66D6D">
      <w:pPr>
        <w:pStyle w:val="ListParagraph"/>
        <w:ind w:left="0" w:firstLine="720"/>
      </w:pPr>
    </w:p>
    <w:p w:rsidR="004E014E" w:rsidRDefault="0070156E" w:rsidP="00B66D6D">
      <w:pPr>
        <w:pStyle w:val="ListParagraph"/>
        <w:ind w:left="0" w:firstLine="720"/>
      </w:pPr>
      <w:r>
        <w:t xml:space="preserve"> Буџетски календар општине </w:t>
      </w:r>
      <w:r w:rsidR="001A072D">
        <w:t xml:space="preserve">Ћићевац </w:t>
      </w:r>
      <w:r>
        <w:t xml:space="preserve"> је следећи: </w:t>
      </w:r>
    </w:p>
    <w:p w:rsidR="00EE7343" w:rsidRPr="00EE7343" w:rsidRDefault="00EE7343" w:rsidP="00B66D6D">
      <w:pPr>
        <w:pStyle w:val="ListParagraph"/>
        <w:ind w:left="0" w:firstLine="720"/>
      </w:pPr>
    </w:p>
    <w:p w:rsidR="00B73A55" w:rsidRDefault="0070156E" w:rsidP="00B66D6D">
      <w:pPr>
        <w:pStyle w:val="ListParagraph"/>
        <w:ind w:left="0" w:firstLine="720"/>
      </w:pPr>
      <w:r>
        <w:t xml:space="preserve">1) 1. август </w:t>
      </w:r>
      <w:r w:rsidR="001A072D">
        <w:t>–</w:t>
      </w:r>
      <w:r>
        <w:t xml:space="preserve"> </w:t>
      </w:r>
      <w:r w:rsidR="001A072D">
        <w:t xml:space="preserve">Служба за </w:t>
      </w:r>
      <w:r>
        <w:t xml:space="preserve"> буџет </w:t>
      </w:r>
      <w:r w:rsidR="001A072D">
        <w:t>,</w:t>
      </w:r>
      <w:r>
        <w:t xml:space="preserve"> финансије </w:t>
      </w:r>
      <w:r w:rsidR="001A072D">
        <w:t xml:space="preserve"> и  јавне набавке  </w:t>
      </w:r>
      <w:r>
        <w:t>доставља упутство за припрему нацрта буџета општине;</w:t>
      </w:r>
    </w:p>
    <w:p w:rsidR="00B73A55" w:rsidRDefault="0070156E" w:rsidP="00B66D6D">
      <w:pPr>
        <w:pStyle w:val="ListParagraph"/>
        <w:ind w:left="0" w:firstLine="720"/>
      </w:pPr>
      <w:r>
        <w:t xml:space="preserve"> 2) 20. август – Индиректни корисници средстава буџета општине </w:t>
      </w:r>
      <w:r w:rsidR="00B73A55">
        <w:t xml:space="preserve">Ћићевац </w:t>
      </w:r>
      <w:r>
        <w:t xml:space="preserve"> достављају своје предлоге финансијског плана за 201</w:t>
      </w:r>
      <w:r w:rsidR="00CF4C0F">
        <w:t>9</w:t>
      </w:r>
      <w:r>
        <w:t>. годину и наредне две фискалне године;</w:t>
      </w:r>
    </w:p>
    <w:p w:rsidR="00B73A55" w:rsidRDefault="0070156E" w:rsidP="00B66D6D">
      <w:pPr>
        <w:pStyle w:val="ListParagraph"/>
        <w:ind w:left="0" w:firstLine="720"/>
      </w:pPr>
      <w:r>
        <w:t xml:space="preserve"> 3) 1. септембар - директни корисници средстава буџета општине </w:t>
      </w:r>
      <w:r w:rsidR="00B73A55">
        <w:t>Ћићевац</w:t>
      </w:r>
      <w:r>
        <w:t xml:space="preserve"> достављају своје предлоге финансијског плана за 201</w:t>
      </w:r>
      <w:r w:rsidR="00CF4C0F">
        <w:t>9</w:t>
      </w:r>
      <w:r>
        <w:t>. годину и наредне две фискалне године;</w:t>
      </w:r>
    </w:p>
    <w:p w:rsidR="00B73A55" w:rsidRDefault="0070156E" w:rsidP="00B66D6D">
      <w:pPr>
        <w:pStyle w:val="ListParagraph"/>
        <w:ind w:left="0" w:firstLine="720"/>
      </w:pPr>
      <w:r>
        <w:t xml:space="preserve"> 4) 15. октобар </w:t>
      </w:r>
      <w:r w:rsidR="00795F5D">
        <w:t>–</w:t>
      </w:r>
      <w:r>
        <w:t xml:space="preserve"> Од</w:t>
      </w:r>
      <w:r w:rsidR="00795F5D">
        <w:t>сек за</w:t>
      </w:r>
      <w:r>
        <w:t xml:space="preserve"> буџет и финансије доставља нацрт одлуке о буџету Општинском већу и истовремено упознаје грађане са нацртом Одлуке о буџету;</w:t>
      </w:r>
    </w:p>
    <w:p w:rsidR="00B73A55" w:rsidRDefault="0070156E" w:rsidP="00B66D6D">
      <w:pPr>
        <w:pStyle w:val="ListParagraph"/>
        <w:ind w:left="0" w:firstLine="720"/>
      </w:pPr>
      <w:r>
        <w:t xml:space="preserve"> 5) 1. новембар – Општинско веће општине </w:t>
      </w:r>
      <w:r w:rsidR="00795F5D">
        <w:t>Ћићевац</w:t>
      </w:r>
      <w:r>
        <w:t>, доставља предлог одлуке о буџету Скупштини општине;</w:t>
      </w:r>
    </w:p>
    <w:p w:rsidR="00B73A55" w:rsidRDefault="0070156E" w:rsidP="00B66D6D">
      <w:pPr>
        <w:pStyle w:val="ListParagraph"/>
        <w:ind w:left="0" w:firstLine="720"/>
      </w:pPr>
      <w:r>
        <w:t xml:space="preserve"> 6) 20. децембар - Скупштина општине </w:t>
      </w:r>
      <w:r w:rsidR="00795F5D">
        <w:t>Ћићевац</w:t>
      </w:r>
      <w:r>
        <w:t xml:space="preserve"> доноси одлуку о буџету општине;</w:t>
      </w:r>
    </w:p>
    <w:p w:rsidR="00B73A55" w:rsidRDefault="0070156E" w:rsidP="00B66D6D">
      <w:pPr>
        <w:pStyle w:val="ListParagraph"/>
        <w:ind w:left="0" w:firstLine="720"/>
      </w:pPr>
      <w:r>
        <w:t xml:space="preserve"> 7) 25. децембар </w:t>
      </w:r>
      <w:r w:rsidR="00795F5D">
        <w:t>–</w:t>
      </w:r>
      <w:r>
        <w:t xml:space="preserve"> Од</w:t>
      </w:r>
      <w:r w:rsidR="00795F5D">
        <w:t xml:space="preserve">сек за </w:t>
      </w:r>
      <w:r>
        <w:t xml:space="preserve"> буџет и финансије доставља министру одлуку о буџету општине. </w:t>
      </w:r>
    </w:p>
    <w:p w:rsidR="00B73A55" w:rsidRDefault="00B73A55" w:rsidP="00B66D6D">
      <w:pPr>
        <w:pStyle w:val="ListParagraph"/>
        <w:ind w:left="0" w:firstLine="720"/>
      </w:pPr>
    </w:p>
    <w:p w:rsidR="00EE7343" w:rsidRDefault="00EE7343" w:rsidP="00B66D6D">
      <w:pPr>
        <w:pStyle w:val="ListParagraph"/>
        <w:ind w:left="0" w:firstLine="720"/>
      </w:pPr>
    </w:p>
    <w:p w:rsidR="002F050A" w:rsidRPr="002F050A" w:rsidRDefault="002F050A" w:rsidP="00B66D6D">
      <w:pPr>
        <w:pStyle w:val="ListParagraph"/>
        <w:ind w:left="0" w:firstLine="720"/>
      </w:pPr>
    </w:p>
    <w:p w:rsidR="00B73A55" w:rsidRDefault="0070156E" w:rsidP="00B66D6D">
      <w:pPr>
        <w:pStyle w:val="ListParagraph"/>
        <w:ind w:left="0" w:firstLine="720"/>
        <w:rPr>
          <w:b/>
        </w:rPr>
      </w:pPr>
      <w:r w:rsidRPr="00B73A55">
        <w:rPr>
          <w:b/>
        </w:rPr>
        <w:t>VII НАЧИН НА КОЈИ ЋЕ СЕ У БУЏЕТУ ИСКАЗАТИ РОДНА АНАЛИЗА БУЏЕТА ЛОКАЛНЕ ВЛАСТИ</w:t>
      </w:r>
    </w:p>
    <w:p w:rsidR="00B73A55" w:rsidRDefault="00B73A55" w:rsidP="00B66D6D">
      <w:pPr>
        <w:pStyle w:val="ListParagraph"/>
        <w:ind w:left="0" w:firstLine="720"/>
        <w:rPr>
          <w:b/>
        </w:rPr>
      </w:pPr>
    </w:p>
    <w:p w:rsidR="00EE7343" w:rsidRPr="00EE7343" w:rsidRDefault="00EE7343" w:rsidP="00B66D6D">
      <w:pPr>
        <w:pStyle w:val="ListParagraph"/>
        <w:ind w:left="0" w:firstLine="720"/>
        <w:rPr>
          <w:b/>
        </w:rPr>
      </w:pPr>
    </w:p>
    <w:p w:rsidR="00B73A55" w:rsidRDefault="0070156E" w:rsidP="00B66D6D">
      <w:pPr>
        <w:pStyle w:val="ListParagraph"/>
        <w:ind w:left="0" w:firstLine="720"/>
      </w:pPr>
      <w:r>
        <w:t xml:space="preserve"> У оквиру спровођења реформе јавних финансија започет је процес унапређења програмског модела буџета кроз увођење принципа родно одговорног буџетирања у буџетски процес. </w:t>
      </w:r>
    </w:p>
    <w:p w:rsidR="00B73A55" w:rsidRDefault="0070156E" w:rsidP="00B66D6D">
      <w:pPr>
        <w:pStyle w:val="ListParagraph"/>
        <w:ind w:left="0" w:firstLine="720"/>
      </w:pPr>
      <w:r>
        <w:t xml:space="preserve">Родно одговорно буџетирање представља увођење принципа родне равноправности у буџетски процес, што подразумева родну анализу буџета и реструктурирање прихода и расхода са циљем унапређења родне равноправности. </w:t>
      </w:r>
    </w:p>
    <w:p w:rsidR="00B73A55" w:rsidRDefault="0070156E" w:rsidP="00B66D6D">
      <w:pPr>
        <w:pStyle w:val="ListParagraph"/>
        <w:ind w:left="0" w:firstLine="720"/>
      </w:pPr>
      <w:r>
        <w:t xml:space="preserve"> Увођење родно одговорног буџетирања спроводи се поступним укључивањем буџетских корисника. До 2020. године предвиђено је да се заокружи процес постепеног увођења родно одговорног буџетирања за све буџетске кориснике, сходно члану 16. став 1. Закона о изменама и допунама Закона о буџетском систему (Службени гласник РС, број 103/2015) путем плана његовог постепеног увођења.</w:t>
      </w:r>
    </w:p>
    <w:p w:rsidR="00015CC9" w:rsidRPr="00EE7343" w:rsidRDefault="0070156E" w:rsidP="00EE7343">
      <w:pPr>
        <w:pStyle w:val="ListParagraph"/>
        <w:ind w:left="0" w:firstLine="720"/>
        <w:rPr>
          <w:b/>
          <w:color w:val="7F7F7F" w:themeColor="text1" w:themeTint="80"/>
        </w:rPr>
      </w:pPr>
      <w:r>
        <w:t xml:space="preserve"> Родна ком</w:t>
      </w:r>
      <w:r w:rsidR="00CF4C0F">
        <w:t>понента буџета за 2019</w:t>
      </w:r>
      <w:r>
        <w:t xml:space="preserve">. годину дефинисана је Планом поступног увођења родно одговорног буџетирања за кориснике буџетских средстава Општинe </w:t>
      </w:r>
      <w:r w:rsidR="00B73A55">
        <w:t>Ћићевац</w:t>
      </w:r>
      <w:r>
        <w:t>, за 201</w:t>
      </w:r>
      <w:r w:rsidR="00CF4C0F">
        <w:t>9</w:t>
      </w:r>
      <w:r>
        <w:t xml:space="preserve">. </w:t>
      </w:r>
      <w:r w:rsidR="00A50E67">
        <w:t>годину, путем дефинисања следећих  програма</w:t>
      </w:r>
      <w:r w:rsidR="00EE7343">
        <w:rPr>
          <w:b/>
          <w:color w:val="7F7F7F" w:themeColor="text1" w:themeTint="80"/>
        </w:rPr>
        <w:t>:</w:t>
      </w:r>
    </w:p>
    <w:p w:rsidR="00015CC9" w:rsidRPr="002038C5" w:rsidRDefault="00015CC9" w:rsidP="00B66D6D">
      <w:pPr>
        <w:pStyle w:val="ListParagraph"/>
        <w:ind w:left="0" w:firstLine="720"/>
        <w:rPr>
          <w:color w:val="000000" w:themeColor="text1"/>
        </w:rPr>
      </w:pPr>
    </w:p>
    <w:tbl>
      <w:tblPr>
        <w:tblStyle w:val="TableGrid"/>
        <w:tblW w:w="0" w:type="auto"/>
        <w:tblLook w:val="04A0"/>
      </w:tblPr>
      <w:tblGrid>
        <w:gridCol w:w="817"/>
        <w:gridCol w:w="4111"/>
        <w:gridCol w:w="4648"/>
      </w:tblGrid>
      <w:tr w:rsidR="002038C5" w:rsidRPr="002038C5" w:rsidTr="002038C5">
        <w:tc>
          <w:tcPr>
            <w:tcW w:w="817" w:type="dxa"/>
          </w:tcPr>
          <w:p w:rsidR="002038C5" w:rsidRPr="00E5489A" w:rsidRDefault="00E5489A" w:rsidP="00B66D6D">
            <w:pPr>
              <w:pStyle w:val="ListParagraph"/>
              <w:ind w:left="0"/>
              <w:rPr>
                <w:color w:val="000000" w:themeColor="text1"/>
              </w:rPr>
            </w:pPr>
            <w:r>
              <w:rPr>
                <w:color w:val="000000" w:themeColor="text1"/>
              </w:rPr>
              <w:lastRenderedPageBreak/>
              <w:t>Редни број</w:t>
            </w:r>
          </w:p>
        </w:tc>
        <w:tc>
          <w:tcPr>
            <w:tcW w:w="4111" w:type="dxa"/>
          </w:tcPr>
          <w:p w:rsidR="00B438A0" w:rsidRDefault="00B438A0" w:rsidP="00B438A0">
            <w:pPr>
              <w:pStyle w:val="ListParagraph"/>
              <w:ind w:left="0"/>
              <w:jc w:val="center"/>
              <w:rPr>
                <w:color w:val="000000" w:themeColor="text1"/>
              </w:rPr>
            </w:pPr>
          </w:p>
          <w:p w:rsidR="00B438A0" w:rsidRDefault="00B438A0" w:rsidP="00B438A0">
            <w:pPr>
              <w:pStyle w:val="ListParagraph"/>
              <w:ind w:left="0"/>
              <w:jc w:val="center"/>
              <w:rPr>
                <w:color w:val="000000" w:themeColor="text1"/>
              </w:rPr>
            </w:pPr>
          </w:p>
          <w:p w:rsidR="002038C5" w:rsidRPr="00E5489A" w:rsidRDefault="00E5489A" w:rsidP="00B438A0">
            <w:pPr>
              <w:pStyle w:val="ListParagraph"/>
              <w:ind w:left="0"/>
              <w:jc w:val="center"/>
              <w:rPr>
                <w:color w:val="000000" w:themeColor="text1"/>
              </w:rPr>
            </w:pPr>
            <w:r>
              <w:rPr>
                <w:color w:val="000000" w:themeColor="text1"/>
              </w:rPr>
              <w:t>Назив буџетског корисника</w:t>
            </w:r>
          </w:p>
        </w:tc>
        <w:tc>
          <w:tcPr>
            <w:tcW w:w="4648" w:type="dxa"/>
          </w:tcPr>
          <w:p w:rsidR="002038C5" w:rsidRDefault="00E5489A" w:rsidP="00E5489A">
            <w:pPr>
              <w:pStyle w:val="ListParagraph"/>
              <w:ind w:left="0"/>
              <w:jc w:val="center"/>
              <w:rPr>
                <w:color w:val="000000" w:themeColor="text1"/>
              </w:rPr>
            </w:pPr>
            <w:r>
              <w:rPr>
                <w:color w:val="000000" w:themeColor="text1"/>
              </w:rPr>
              <w:t>Назив програма</w:t>
            </w:r>
          </w:p>
          <w:p w:rsidR="00E5489A" w:rsidRDefault="00B438A0" w:rsidP="00E5489A">
            <w:pPr>
              <w:pStyle w:val="ListParagraph"/>
              <w:ind w:left="0"/>
              <w:jc w:val="center"/>
              <w:rPr>
                <w:color w:val="000000" w:themeColor="text1"/>
              </w:rPr>
            </w:pPr>
            <w:r>
              <w:rPr>
                <w:color w:val="000000" w:themeColor="text1"/>
              </w:rPr>
              <w:t>(број и назив програма у складу са униформном програмском структуром буџета ЈЛС утврђеном у 201</w:t>
            </w:r>
            <w:r w:rsidR="00CF4C0F">
              <w:rPr>
                <w:color w:val="000000" w:themeColor="text1"/>
              </w:rPr>
              <w:t>8</w:t>
            </w:r>
            <w:r>
              <w:rPr>
                <w:color w:val="000000" w:themeColor="text1"/>
              </w:rPr>
              <w:t>. години)</w:t>
            </w:r>
          </w:p>
          <w:p w:rsidR="00E5489A" w:rsidRPr="00E5489A" w:rsidRDefault="00E5489A" w:rsidP="00E5489A">
            <w:pPr>
              <w:pStyle w:val="ListParagraph"/>
              <w:ind w:left="-5212" w:firstLine="426"/>
              <w:jc w:val="center"/>
              <w:rPr>
                <w:color w:val="000000" w:themeColor="text1"/>
              </w:rPr>
            </w:pPr>
          </w:p>
        </w:tc>
      </w:tr>
      <w:tr w:rsidR="002038C5" w:rsidRPr="002038C5" w:rsidTr="002038C5">
        <w:tc>
          <w:tcPr>
            <w:tcW w:w="817" w:type="dxa"/>
          </w:tcPr>
          <w:p w:rsidR="002038C5" w:rsidRPr="002038C5" w:rsidRDefault="002038C5" w:rsidP="00B66D6D">
            <w:pPr>
              <w:pStyle w:val="ListParagraph"/>
              <w:ind w:left="0"/>
              <w:rPr>
                <w:color w:val="000000" w:themeColor="text1"/>
              </w:rPr>
            </w:pPr>
            <w:r w:rsidRPr="002038C5">
              <w:rPr>
                <w:color w:val="000000" w:themeColor="text1"/>
              </w:rPr>
              <w:t>1.</w:t>
            </w:r>
          </w:p>
        </w:tc>
        <w:tc>
          <w:tcPr>
            <w:tcW w:w="4111" w:type="dxa"/>
          </w:tcPr>
          <w:p w:rsidR="00E5489A" w:rsidRPr="00E5489A" w:rsidRDefault="00E5489A" w:rsidP="00B66D6D">
            <w:pPr>
              <w:pStyle w:val="ListParagraph"/>
              <w:ind w:left="0"/>
              <w:rPr>
                <w:color w:val="000000" w:themeColor="text1"/>
              </w:rPr>
            </w:pPr>
            <w:r>
              <w:rPr>
                <w:color w:val="000000" w:themeColor="text1"/>
              </w:rPr>
              <w:t>Општинска управа</w:t>
            </w:r>
          </w:p>
        </w:tc>
        <w:tc>
          <w:tcPr>
            <w:tcW w:w="4648" w:type="dxa"/>
          </w:tcPr>
          <w:p w:rsidR="002038C5" w:rsidRPr="00B438A0" w:rsidRDefault="00B438A0" w:rsidP="00CF4C0F">
            <w:pPr>
              <w:pStyle w:val="ListParagraph"/>
              <w:ind w:left="0"/>
              <w:rPr>
                <w:color w:val="000000" w:themeColor="text1"/>
              </w:rPr>
            </w:pPr>
            <w:r>
              <w:rPr>
                <w:color w:val="000000" w:themeColor="text1"/>
              </w:rPr>
              <w:t xml:space="preserve">Програм 3 – </w:t>
            </w:r>
            <w:r w:rsidR="00CF4C0F">
              <w:rPr>
                <w:color w:val="000000" w:themeColor="text1"/>
              </w:rPr>
              <w:t>Л</w:t>
            </w:r>
            <w:r>
              <w:rPr>
                <w:color w:val="000000" w:themeColor="text1"/>
              </w:rPr>
              <w:t>окални економски развој</w:t>
            </w:r>
          </w:p>
        </w:tc>
      </w:tr>
      <w:tr w:rsidR="002038C5" w:rsidRPr="002038C5" w:rsidTr="002038C5">
        <w:tc>
          <w:tcPr>
            <w:tcW w:w="817" w:type="dxa"/>
          </w:tcPr>
          <w:p w:rsidR="002038C5" w:rsidRPr="002038C5" w:rsidRDefault="002038C5" w:rsidP="00B66D6D">
            <w:pPr>
              <w:pStyle w:val="ListParagraph"/>
              <w:ind w:left="0"/>
              <w:rPr>
                <w:color w:val="000000" w:themeColor="text1"/>
              </w:rPr>
            </w:pPr>
            <w:r w:rsidRPr="002038C5">
              <w:rPr>
                <w:color w:val="000000" w:themeColor="text1"/>
              </w:rPr>
              <w:t>2.</w:t>
            </w:r>
          </w:p>
        </w:tc>
        <w:tc>
          <w:tcPr>
            <w:tcW w:w="4111" w:type="dxa"/>
          </w:tcPr>
          <w:p w:rsidR="002038C5" w:rsidRPr="00E5489A" w:rsidRDefault="00E5489A" w:rsidP="00B66D6D">
            <w:pPr>
              <w:pStyle w:val="ListParagraph"/>
              <w:ind w:left="0"/>
              <w:rPr>
                <w:color w:val="000000" w:themeColor="text1"/>
              </w:rPr>
            </w:pPr>
            <w:r>
              <w:rPr>
                <w:color w:val="000000" w:themeColor="text1"/>
              </w:rPr>
              <w:t>Општинска управа</w:t>
            </w:r>
          </w:p>
        </w:tc>
        <w:tc>
          <w:tcPr>
            <w:tcW w:w="4648" w:type="dxa"/>
          </w:tcPr>
          <w:p w:rsidR="002038C5" w:rsidRPr="00B438A0" w:rsidRDefault="00B438A0" w:rsidP="00B66D6D">
            <w:pPr>
              <w:pStyle w:val="ListParagraph"/>
              <w:ind w:left="0"/>
              <w:rPr>
                <w:color w:val="000000" w:themeColor="text1"/>
              </w:rPr>
            </w:pPr>
            <w:r>
              <w:rPr>
                <w:color w:val="000000" w:themeColor="text1"/>
              </w:rPr>
              <w:t>Програм 11 – Социјална и дечја заштита</w:t>
            </w:r>
          </w:p>
        </w:tc>
      </w:tr>
      <w:tr w:rsidR="002038C5" w:rsidRPr="002038C5" w:rsidTr="002038C5">
        <w:tc>
          <w:tcPr>
            <w:tcW w:w="817" w:type="dxa"/>
          </w:tcPr>
          <w:p w:rsidR="002038C5" w:rsidRPr="002038C5" w:rsidRDefault="002038C5" w:rsidP="00B66D6D">
            <w:pPr>
              <w:pStyle w:val="ListParagraph"/>
              <w:ind w:left="0"/>
              <w:rPr>
                <w:color w:val="000000" w:themeColor="text1"/>
              </w:rPr>
            </w:pPr>
            <w:r w:rsidRPr="002038C5">
              <w:rPr>
                <w:color w:val="000000" w:themeColor="text1"/>
              </w:rPr>
              <w:t>3.</w:t>
            </w:r>
          </w:p>
        </w:tc>
        <w:tc>
          <w:tcPr>
            <w:tcW w:w="4111" w:type="dxa"/>
          </w:tcPr>
          <w:p w:rsidR="002038C5" w:rsidRPr="00E5489A" w:rsidRDefault="00E5489A" w:rsidP="00B66D6D">
            <w:pPr>
              <w:pStyle w:val="ListParagraph"/>
              <w:ind w:left="0"/>
              <w:rPr>
                <w:color w:val="000000" w:themeColor="text1"/>
              </w:rPr>
            </w:pPr>
            <w:r>
              <w:rPr>
                <w:color w:val="000000" w:themeColor="text1"/>
              </w:rPr>
              <w:t>Општинска управа</w:t>
            </w:r>
          </w:p>
        </w:tc>
        <w:tc>
          <w:tcPr>
            <w:tcW w:w="4648" w:type="dxa"/>
          </w:tcPr>
          <w:p w:rsidR="002038C5" w:rsidRPr="00B438A0" w:rsidRDefault="00B438A0" w:rsidP="00B66D6D">
            <w:pPr>
              <w:pStyle w:val="ListParagraph"/>
              <w:ind w:left="0"/>
              <w:rPr>
                <w:color w:val="000000" w:themeColor="text1"/>
              </w:rPr>
            </w:pPr>
            <w:r>
              <w:rPr>
                <w:color w:val="000000" w:themeColor="text1"/>
              </w:rPr>
              <w:t>Програм 14 – Развој спорта и омладине</w:t>
            </w:r>
          </w:p>
        </w:tc>
      </w:tr>
    </w:tbl>
    <w:p w:rsidR="00F660AE" w:rsidRPr="00A50E67" w:rsidRDefault="00F660AE" w:rsidP="00A50E67">
      <w:pPr>
        <w:rPr>
          <w:color w:val="FF0000"/>
        </w:rPr>
      </w:pPr>
    </w:p>
    <w:p w:rsidR="00B73A55" w:rsidRDefault="00015CC9" w:rsidP="00B66D6D">
      <w:pPr>
        <w:pStyle w:val="ListParagraph"/>
        <w:ind w:left="0" w:firstLine="720"/>
      </w:pPr>
      <w:r>
        <w:t xml:space="preserve"> </w:t>
      </w:r>
    </w:p>
    <w:p w:rsidR="00B73A55" w:rsidRPr="00B73A55" w:rsidRDefault="0070156E" w:rsidP="00B66D6D">
      <w:pPr>
        <w:pStyle w:val="ListParagraph"/>
        <w:ind w:left="0" w:firstLine="720"/>
        <w:rPr>
          <w:b/>
        </w:rPr>
      </w:pPr>
      <w:r w:rsidRPr="00B73A55">
        <w:rPr>
          <w:b/>
        </w:rPr>
        <w:t xml:space="preserve"> VIII НАЧИН НА КОЈИ ЋЕ СЕ ИСКАЗАТИ ПРОГРАМСКЕ ИНФОРМАЦИЈЕ</w:t>
      </w:r>
    </w:p>
    <w:p w:rsidR="00B73A55" w:rsidRDefault="00B73A55" w:rsidP="00B66D6D">
      <w:pPr>
        <w:pStyle w:val="ListParagraph"/>
        <w:ind w:left="0" w:firstLine="720"/>
      </w:pPr>
    </w:p>
    <w:p w:rsidR="00CD1A16" w:rsidRDefault="0070156E" w:rsidP="00B66D6D">
      <w:pPr>
        <w:pStyle w:val="ListParagraph"/>
        <w:ind w:left="0" w:firstLine="720"/>
      </w:pPr>
      <w:r>
        <w:t xml:space="preserve"> Законом о буџетском систему програмски буџет дефинисан је на следећи начин: ''Програмски део буџета саставни је део посебног дела буџета који садржи програме и активности корисника буџетских средстава, који се спроводе у циљу ефикасног управљања средствима предложеним програмима, а који доприносе остварењу стратешких циљева у складу са економском политиком земље.'' </w:t>
      </w:r>
    </w:p>
    <w:p w:rsidR="00CD1A16" w:rsidRDefault="0070156E" w:rsidP="00B66D6D">
      <w:pPr>
        <w:pStyle w:val="ListParagraph"/>
        <w:ind w:left="0" w:firstLine="720"/>
      </w:pPr>
      <w:r>
        <w:t>Структуру програмског буџета чине три категорије: - Програми, - Програмске активности и - Пројекти.</w:t>
      </w:r>
    </w:p>
    <w:p w:rsidR="00CD1A16" w:rsidRDefault="0070156E" w:rsidP="00B66D6D">
      <w:pPr>
        <w:pStyle w:val="ListParagraph"/>
        <w:ind w:left="0" w:firstLine="720"/>
      </w:pPr>
      <w:r>
        <w:t xml:space="preserve"> Програм је основни елемент програмског буџета.</w:t>
      </w:r>
    </w:p>
    <w:p w:rsidR="00CD1A16" w:rsidRDefault="0070156E" w:rsidP="00B66D6D">
      <w:pPr>
        <w:pStyle w:val="ListParagraph"/>
        <w:ind w:left="0" w:firstLine="720"/>
      </w:pPr>
      <w:r>
        <w:t xml:space="preserve"> Програм представља скуп мера које корисници буџета спроводе у складу са својим кључним надлежностима и утврђеним средњорочним циљевима.</w:t>
      </w:r>
    </w:p>
    <w:p w:rsidR="00CD1A16" w:rsidRDefault="0070156E" w:rsidP="00B66D6D">
      <w:pPr>
        <w:pStyle w:val="ListParagraph"/>
        <w:ind w:left="0" w:firstLine="720"/>
      </w:pPr>
      <w:r>
        <w:t xml:space="preserve"> Програм се састоји од независних, али тесно повезаних компоненти – програмских активности и пројеката.</w:t>
      </w:r>
    </w:p>
    <w:p w:rsidR="00CD1A16" w:rsidRDefault="0070156E" w:rsidP="00B66D6D">
      <w:pPr>
        <w:pStyle w:val="ListParagraph"/>
        <w:ind w:left="0" w:firstLine="720"/>
      </w:pPr>
      <w:r>
        <w:t xml:space="preserve"> Алокација средстава опредељених за програм врши се апропријацијама везаним за програмске активности и пројекте у оквиру програма.</w:t>
      </w:r>
    </w:p>
    <w:p w:rsidR="00CD1A16" w:rsidRDefault="0070156E" w:rsidP="00B66D6D">
      <w:pPr>
        <w:pStyle w:val="ListParagraph"/>
        <w:ind w:left="0" w:firstLine="720"/>
      </w:pPr>
      <w:r>
        <w:t xml:space="preserve"> Програм се утврђује и спроводи од стране једног или више корисника буџета и није временски ограничен.</w:t>
      </w:r>
    </w:p>
    <w:p w:rsidR="00CD1A16" w:rsidRDefault="0070156E" w:rsidP="00B66D6D">
      <w:pPr>
        <w:pStyle w:val="ListParagraph"/>
        <w:ind w:left="0" w:firstLine="720"/>
      </w:pPr>
      <w:r>
        <w:t xml:space="preserve"> Програмска активност је текућа делатност корисника буџета. </w:t>
      </w:r>
    </w:p>
    <w:p w:rsidR="00CD1A16" w:rsidRDefault="0070156E" w:rsidP="00CD1A16">
      <w:pPr>
        <w:pStyle w:val="ListParagraph"/>
      </w:pPr>
      <w:r>
        <w:t xml:space="preserve">Програмска активност се утврђује на основу његове уже дефинисане надлежности. Програмска активност мора бити део програма, спроводи се од стране само једног корисника буџета и није временски ограничена. </w:t>
      </w:r>
    </w:p>
    <w:p w:rsidR="00CD1A16" w:rsidRDefault="0070156E" w:rsidP="00CD1A16">
      <w:pPr>
        <w:pStyle w:val="ListParagraph"/>
        <w:ind w:left="0" w:firstLine="720"/>
      </w:pPr>
      <w:r>
        <w:t xml:space="preserve">Пројекат је временски ограничен пословни подухват корисника средстава буџета чијим спровођењем се постижу циљеви који доприносе постизању циљева програма. </w:t>
      </w:r>
    </w:p>
    <w:p w:rsidR="00CD1A16" w:rsidRDefault="0070156E" w:rsidP="00CD1A16">
      <w:pPr>
        <w:pStyle w:val="ListParagraph"/>
        <w:ind w:left="0" w:firstLine="720"/>
      </w:pPr>
      <w:r>
        <w:t xml:space="preserve"> У буџету локалних самоуправа пројекти нису унапред дефинисани и одређени.</w:t>
      </w:r>
    </w:p>
    <w:p w:rsidR="00CD1A16" w:rsidRDefault="0070156E" w:rsidP="00CD1A16">
      <w:pPr>
        <w:pStyle w:val="ListParagraph"/>
        <w:ind w:left="0" w:firstLine="720"/>
      </w:pPr>
      <w:r>
        <w:t xml:space="preserve"> Пројекти се могу односити на капитална улагања, унапређење процедуре у јавној администрацији, усавршавање државних службеника и намештеника и сличне подухвате.</w:t>
      </w:r>
    </w:p>
    <w:p w:rsidR="00CD1A16" w:rsidRDefault="0070156E" w:rsidP="00CD1A16">
      <w:pPr>
        <w:pStyle w:val="ListParagraph"/>
        <w:ind w:left="0" w:firstLine="720"/>
      </w:pPr>
      <w:r>
        <w:t xml:space="preserve">Такође, пројекти могу представљати краткорочни инструмент утврђене јавне политике. Јединице локалне самоуправе (у даљем тексту: ЈЛС) своју програмску структуру утврђују на основу листе програма и програмских активности униформисаних за све ЈЛС. У тој листи је за програме и програмске активности утврђена њихова шифра, назив, сектор коме припадају и сврха. </w:t>
      </w:r>
    </w:p>
    <w:p w:rsidR="00CD1A16" w:rsidRDefault="0070156E" w:rsidP="00CD1A16">
      <w:pPr>
        <w:pStyle w:val="ListParagraph"/>
        <w:ind w:left="0" w:firstLine="720"/>
      </w:pPr>
      <w:r>
        <w:lastRenderedPageBreak/>
        <w:t>Министарство финансија је у сарадњи са СКГО припремило униформну програмску структуру за ЈЛС која се примењује у изради одлуке о буџету јединица локалне самоуправе и која садржи 17 програма.</w:t>
      </w:r>
    </w:p>
    <w:p w:rsidR="00CD1A16" w:rsidRDefault="0070156E" w:rsidP="00CD1A16">
      <w:pPr>
        <w:pStyle w:val="ListParagraph"/>
        <w:ind w:left="0"/>
      </w:pPr>
      <w:r>
        <w:t xml:space="preserve"> </w:t>
      </w:r>
      <w:r w:rsidR="00CD1A16">
        <w:tab/>
      </w:r>
      <w:r>
        <w:t xml:space="preserve">Министарство финансија је такође у сарадњи са СКГО припремило документ који садржи циљеве програма и програмских активности и листу униформних индикатора који треба у значајној мери да олакша припрему буџета од стране локалних власти и осигура униформност и упоредивост садржине програмских буџета ЈЛС. </w:t>
      </w:r>
    </w:p>
    <w:p w:rsidR="00CD1A16" w:rsidRDefault="0070156E" w:rsidP="00CD1A16">
      <w:pPr>
        <w:pStyle w:val="ListParagraph"/>
        <w:ind w:left="0" w:firstLine="720"/>
      </w:pPr>
      <w:r>
        <w:t>Упутство за припрему програмског буџета, са анексом 5 којим је дефинисана униформна програмска структура за ЈЛС, као и документ који садржи циљеве програма и програмских активности и листа униформних индикатора може се наћи на сајту Министарства финансија (www.mfin.gov.rs), као и на сајту СКГО (</w:t>
      </w:r>
      <w:hyperlink r:id="rId8" w:history="1">
        <w:r w:rsidR="00CD1A16" w:rsidRPr="0058288C">
          <w:rPr>
            <w:rStyle w:val="Hyperlink"/>
          </w:rPr>
          <w:t>www.skgo.org</w:t>
        </w:r>
      </w:hyperlink>
      <w:r>
        <w:t xml:space="preserve">). </w:t>
      </w:r>
    </w:p>
    <w:p w:rsidR="00F53D9F" w:rsidRDefault="00F53D9F" w:rsidP="00CD1A16">
      <w:pPr>
        <w:pStyle w:val="ListParagraph"/>
        <w:ind w:left="0" w:firstLine="720"/>
      </w:pPr>
    </w:p>
    <w:p w:rsidR="00F53D9F" w:rsidRDefault="00F53D9F" w:rsidP="00CD1A16">
      <w:pPr>
        <w:pStyle w:val="ListParagraph"/>
        <w:ind w:left="0" w:firstLine="720"/>
      </w:pPr>
      <w:r>
        <w:t>Напомене везане за попуњавање табела:</w:t>
      </w:r>
    </w:p>
    <w:p w:rsidR="00F53D9F" w:rsidRDefault="00F53D9F" w:rsidP="00CD1A16">
      <w:pPr>
        <w:pStyle w:val="ListParagraph"/>
        <w:ind w:left="0" w:firstLine="720"/>
      </w:pPr>
      <w:r>
        <w:t>Табеле се достављају у штампаном облику, са печатом и потписом функционера буџетског корисника;</w:t>
      </w:r>
    </w:p>
    <w:p w:rsidR="00F53D9F" w:rsidRDefault="00F53D9F" w:rsidP="00CD1A16">
      <w:pPr>
        <w:pStyle w:val="ListParagraph"/>
        <w:ind w:left="0" w:firstLine="720"/>
      </w:pPr>
      <w:r>
        <w:t>Износи се уносе у хиљадама динара.</w:t>
      </w:r>
    </w:p>
    <w:p w:rsidR="004E014E" w:rsidRDefault="004E014E" w:rsidP="00CD1A16">
      <w:pPr>
        <w:pStyle w:val="ListParagraph"/>
        <w:ind w:left="0" w:firstLine="720"/>
      </w:pPr>
    </w:p>
    <w:p w:rsidR="004E014E" w:rsidRPr="00252683" w:rsidRDefault="00EF6644" w:rsidP="00EF6644">
      <w:pPr>
        <w:pStyle w:val="NoSpacing"/>
      </w:pPr>
      <w:r>
        <w:t xml:space="preserve">          </w:t>
      </w:r>
      <w:r w:rsidR="004E014E">
        <w:t xml:space="preserve">Шеф Службе </w:t>
      </w:r>
      <w:r>
        <w:t xml:space="preserve">                                                                                                                   </w:t>
      </w:r>
      <w:r w:rsidR="004E014E">
        <w:t>Шеф Одсека</w:t>
      </w:r>
    </w:p>
    <w:p w:rsidR="00252683" w:rsidRDefault="00252683" w:rsidP="00EF6644">
      <w:pPr>
        <w:pStyle w:val="NoSpacing"/>
      </w:pPr>
    </w:p>
    <w:p w:rsidR="004E014E" w:rsidRPr="004E014E" w:rsidRDefault="00EF6644" w:rsidP="00EF6644">
      <w:pPr>
        <w:pStyle w:val="NoSpacing"/>
      </w:pPr>
      <w:r>
        <w:t xml:space="preserve">    Ирена Станојевић                  </w:t>
      </w:r>
      <w:r w:rsidR="004E014E">
        <w:t xml:space="preserve">                                                                                           Невенка Првановић</w:t>
      </w:r>
    </w:p>
    <w:sectPr w:rsidR="004E014E" w:rsidRPr="004E014E" w:rsidSect="00A5278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C1A" w:rsidRDefault="00AD2C1A" w:rsidP="00817D20">
      <w:pPr>
        <w:pStyle w:val="ListParagraph"/>
        <w:spacing w:after="0" w:line="240" w:lineRule="auto"/>
      </w:pPr>
      <w:r>
        <w:separator/>
      </w:r>
    </w:p>
  </w:endnote>
  <w:endnote w:type="continuationSeparator" w:id="1">
    <w:p w:rsidR="00AD2C1A" w:rsidRDefault="00AD2C1A" w:rsidP="00817D20">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C1A" w:rsidRDefault="00AD2C1A" w:rsidP="00817D20">
      <w:pPr>
        <w:pStyle w:val="ListParagraph"/>
        <w:spacing w:after="0" w:line="240" w:lineRule="auto"/>
      </w:pPr>
      <w:r>
        <w:separator/>
      </w:r>
    </w:p>
  </w:footnote>
  <w:footnote w:type="continuationSeparator" w:id="1">
    <w:p w:rsidR="00AD2C1A" w:rsidRDefault="00AD2C1A" w:rsidP="00817D20">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86A3B"/>
    <w:multiLevelType w:val="hybridMultilevel"/>
    <w:tmpl w:val="3392F6DE"/>
    <w:lvl w:ilvl="0" w:tplc="924E1D08">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70156E"/>
    <w:rsid w:val="00000455"/>
    <w:rsid w:val="00003ADD"/>
    <w:rsid w:val="00015CC9"/>
    <w:rsid w:val="00027B9C"/>
    <w:rsid w:val="00076B7B"/>
    <w:rsid w:val="000B027C"/>
    <w:rsid w:val="000B47F1"/>
    <w:rsid w:val="000C2043"/>
    <w:rsid w:val="000E2A0E"/>
    <w:rsid w:val="00112116"/>
    <w:rsid w:val="0012242C"/>
    <w:rsid w:val="00130E5F"/>
    <w:rsid w:val="001313EB"/>
    <w:rsid w:val="0015136D"/>
    <w:rsid w:val="00175955"/>
    <w:rsid w:val="001766BD"/>
    <w:rsid w:val="001834F8"/>
    <w:rsid w:val="00196C0F"/>
    <w:rsid w:val="001A072D"/>
    <w:rsid w:val="002038C5"/>
    <w:rsid w:val="002516E2"/>
    <w:rsid w:val="00252683"/>
    <w:rsid w:val="00273132"/>
    <w:rsid w:val="002F050A"/>
    <w:rsid w:val="00320A9E"/>
    <w:rsid w:val="00330C8E"/>
    <w:rsid w:val="00361F0A"/>
    <w:rsid w:val="003842AC"/>
    <w:rsid w:val="003871BB"/>
    <w:rsid w:val="00393015"/>
    <w:rsid w:val="003A1063"/>
    <w:rsid w:val="003C61A5"/>
    <w:rsid w:val="003D14A5"/>
    <w:rsid w:val="003E5920"/>
    <w:rsid w:val="003F391C"/>
    <w:rsid w:val="00426522"/>
    <w:rsid w:val="00444B7A"/>
    <w:rsid w:val="004562E4"/>
    <w:rsid w:val="0046213B"/>
    <w:rsid w:val="00462985"/>
    <w:rsid w:val="00490026"/>
    <w:rsid w:val="004A4FE0"/>
    <w:rsid w:val="004D533D"/>
    <w:rsid w:val="004E014E"/>
    <w:rsid w:val="00503244"/>
    <w:rsid w:val="005104F3"/>
    <w:rsid w:val="00530DD6"/>
    <w:rsid w:val="00536C1C"/>
    <w:rsid w:val="005828A1"/>
    <w:rsid w:val="005A7077"/>
    <w:rsid w:val="005D1965"/>
    <w:rsid w:val="00625DD3"/>
    <w:rsid w:val="006575FE"/>
    <w:rsid w:val="00660252"/>
    <w:rsid w:val="006719B9"/>
    <w:rsid w:val="00676479"/>
    <w:rsid w:val="00686815"/>
    <w:rsid w:val="006C4DD7"/>
    <w:rsid w:val="006F344F"/>
    <w:rsid w:val="0070156E"/>
    <w:rsid w:val="00705A5B"/>
    <w:rsid w:val="0071564B"/>
    <w:rsid w:val="00780080"/>
    <w:rsid w:val="00795F5D"/>
    <w:rsid w:val="007D2E11"/>
    <w:rsid w:val="007E3DE0"/>
    <w:rsid w:val="00817D20"/>
    <w:rsid w:val="0082091A"/>
    <w:rsid w:val="00845376"/>
    <w:rsid w:val="008545A0"/>
    <w:rsid w:val="008D5CAF"/>
    <w:rsid w:val="008F2941"/>
    <w:rsid w:val="00904E01"/>
    <w:rsid w:val="009125B2"/>
    <w:rsid w:val="00915A40"/>
    <w:rsid w:val="0092601A"/>
    <w:rsid w:val="00951280"/>
    <w:rsid w:val="0096602B"/>
    <w:rsid w:val="009703B2"/>
    <w:rsid w:val="009B18B1"/>
    <w:rsid w:val="009D568F"/>
    <w:rsid w:val="009D6B11"/>
    <w:rsid w:val="00A07578"/>
    <w:rsid w:val="00A15254"/>
    <w:rsid w:val="00A46CAB"/>
    <w:rsid w:val="00A50E67"/>
    <w:rsid w:val="00A52318"/>
    <w:rsid w:val="00A52780"/>
    <w:rsid w:val="00A76B5E"/>
    <w:rsid w:val="00A82370"/>
    <w:rsid w:val="00A91F0A"/>
    <w:rsid w:val="00A92E68"/>
    <w:rsid w:val="00AA66ED"/>
    <w:rsid w:val="00AD2C1A"/>
    <w:rsid w:val="00AF2E92"/>
    <w:rsid w:val="00B438A0"/>
    <w:rsid w:val="00B5080B"/>
    <w:rsid w:val="00B566B9"/>
    <w:rsid w:val="00B66D6D"/>
    <w:rsid w:val="00B73A55"/>
    <w:rsid w:val="00B8773B"/>
    <w:rsid w:val="00C144DD"/>
    <w:rsid w:val="00C22727"/>
    <w:rsid w:val="00C26C38"/>
    <w:rsid w:val="00C348D4"/>
    <w:rsid w:val="00C438D9"/>
    <w:rsid w:val="00C666A0"/>
    <w:rsid w:val="00C81D8A"/>
    <w:rsid w:val="00CA760D"/>
    <w:rsid w:val="00CC0A91"/>
    <w:rsid w:val="00CD1A16"/>
    <w:rsid w:val="00CF4C0F"/>
    <w:rsid w:val="00D2079B"/>
    <w:rsid w:val="00D777EA"/>
    <w:rsid w:val="00D80BF8"/>
    <w:rsid w:val="00D82AF5"/>
    <w:rsid w:val="00D93365"/>
    <w:rsid w:val="00DD39E0"/>
    <w:rsid w:val="00DE0B24"/>
    <w:rsid w:val="00DF3C19"/>
    <w:rsid w:val="00E1541D"/>
    <w:rsid w:val="00E1689E"/>
    <w:rsid w:val="00E5489A"/>
    <w:rsid w:val="00E5543B"/>
    <w:rsid w:val="00E60D28"/>
    <w:rsid w:val="00E613D3"/>
    <w:rsid w:val="00E75DBD"/>
    <w:rsid w:val="00E86C40"/>
    <w:rsid w:val="00EA0AF7"/>
    <w:rsid w:val="00EB3485"/>
    <w:rsid w:val="00EC1437"/>
    <w:rsid w:val="00EC729D"/>
    <w:rsid w:val="00EE6B7C"/>
    <w:rsid w:val="00EE7343"/>
    <w:rsid w:val="00EF6644"/>
    <w:rsid w:val="00F053CF"/>
    <w:rsid w:val="00F16C1D"/>
    <w:rsid w:val="00F20FD5"/>
    <w:rsid w:val="00F224A9"/>
    <w:rsid w:val="00F23FD9"/>
    <w:rsid w:val="00F47FF3"/>
    <w:rsid w:val="00F53D9F"/>
    <w:rsid w:val="00F60C7F"/>
    <w:rsid w:val="00F611B8"/>
    <w:rsid w:val="00F660AE"/>
    <w:rsid w:val="00F749F4"/>
    <w:rsid w:val="00F75491"/>
    <w:rsid w:val="00F75A10"/>
    <w:rsid w:val="00F84683"/>
    <w:rsid w:val="00FB548C"/>
    <w:rsid w:val="00FD09F1"/>
    <w:rsid w:val="00FE775D"/>
    <w:rsid w:val="00FE7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7FF3"/>
    <w:pPr>
      <w:spacing w:after="0" w:line="240" w:lineRule="auto"/>
    </w:pPr>
  </w:style>
  <w:style w:type="paragraph" w:styleId="ListParagraph">
    <w:name w:val="List Paragraph"/>
    <w:basedOn w:val="Normal"/>
    <w:uiPriority w:val="34"/>
    <w:qFormat/>
    <w:rsid w:val="008F2941"/>
    <w:pPr>
      <w:ind w:left="720"/>
      <w:contextualSpacing/>
    </w:pPr>
  </w:style>
  <w:style w:type="table" w:styleId="TableGrid">
    <w:name w:val="Table Grid"/>
    <w:basedOn w:val="TableNormal"/>
    <w:uiPriority w:val="59"/>
    <w:rsid w:val="00817D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17D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7D20"/>
  </w:style>
  <w:style w:type="paragraph" w:styleId="Footer">
    <w:name w:val="footer"/>
    <w:basedOn w:val="Normal"/>
    <w:link w:val="FooterChar"/>
    <w:uiPriority w:val="99"/>
    <w:semiHidden/>
    <w:unhideWhenUsed/>
    <w:rsid w:val="00817D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7D20"/>
  </w:style>
  <w:style w:type="character" w:styleId="Hyperlink">
    <w:name w:val="Hyperlink"/>
    <w:basedOn w:val="DefaultParagraphFont"/>
    <w:uiPriority w:val="99"/>
    <w:unhideWhenUsed/>
    <w:rsid w:val="00CD1A1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g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EAE3D-E7BB-4A83-B0F5-C0DDFDCA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12</Pages>
  <Words>4177</Words>
  <Characters>23815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istanoje</dc:creator>
  <cp:lastModifiedBy>istanoje</cp:lastModifiedBy>
  <cp:revision>103</cp:revision>
  <cp:lastPrinted>2017-09-29T10:08:00Z</cp:lastPrinted>
  <dcterms:created xsi:type="dcterms:W3CDTF">2017-07-31T09:41:00Z</dcterms:created>
  <dcterms:modified xsi:type="dcterms:W3CDTF">2020-01-27T06:44:00Z</dcterms:modified>
</cp:coreProperties>
</file>